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51" w:rsidRPr="00E2307F" w:rsidRDefault="00C0586A" w:rsidP="005D4FB2">
      <w:pPr>
        <w:ind w:leftChars="40" w:left="84"/>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9pt;margin-top:4.5pt;width:225pt;height:3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bvgA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" stroked="f">
            <v:textbox>
              <w:txbxContent>
                <w:p w:rsidR="003E7A73" w:rsidRPr="009D4250" w:rsidRDefault="002D2B1F" w:rsidP="00830026">
                  <w:pPr>
                    <w:jc w:val="right"/>
                    <w:rPr>
                      <w:rFonts w:ascii="Arial" w:eastAsia="楷体_GB2312" w:hAnsi="Arial"/>
                      <w:b/>
                      <w:sz w:val="36"/>
                      <w:szCs w:val="36"/>
                    </w:rPr>
                  </w:pPr>
                  <w:r>
                    <w:rPr>
                      <w:rFonts w:ascii="Arial" w:eastAsia="楷体_GB2312" w:hAnsi="Arial" w:hint="eastAsia"/>
                      <w:b/>
                      <w:sz w:val="36"/>
                      <w:szCs w:val="36"/>
                    </w:rPr>
                    <w:t>行业</w:t>
                  </w:r>
                  <w:r w:rsidR="006251CD">
                    <w:rPr>
                      <w:rFonts w:ascii="Arial" w:eastAsia="楷体_GB2312" w:hAnsi="Arial" w:hint="eastAsia"/>
                      <w:b/>
                      <w:sz w:val="36"/>
                      <w:szCs w:val="36"/>
                    </w:rPr>
                    <w:t>研究</w:t>
                  </w:r>
                </w:p>
                <w:p w:rsidR="003E7A73" w:rsidRPr="00274323" w:rsidRDefault="003E7A73" w:rsidP="00274323">
                  <w:pPr>
                    <w:rPr>
                      <w:szCs w:val="36"/>
                    </w:rPr>
                  </w:pPr>
                </w:p>
              </w:txbxContent>
            </v:textbox>
          </v:shape>
        </w:pict>
      </w:r>
      <w:r w:rsidR="00354F0C">
        <w:rPr>
          <w:noProof/>
        </w:rPr>
        <w:drawing>
          <wp:inline distT="0" distB="0" distL="0" distR="0">
            <wp:extent cx="2091055" cy="579120"/>
            <wp:effectExtent l="19050" t="0" r="4445"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8"/>
                    <a:srcRect/>
                    <a:stretch>
                      <a:fillRect/>
                    </a:stretch>
                  </pic:blipFill>
                  <pic:spPr bwMode="auto">
                    <a:xfrm>
                      <a:off x="0" y="0"/>
                      <a:ext cx="2091055" cy="579120"/>
                    </a:xfrm>
                    <a:prstGeom prst="rect">
                      <a:avLst/>
                    </a:prstGeom>
                    <a:noFill/>
                  </pic:spPr>
                </pic:pic>
              </a:graphicData>
            </a:graphic>
          </wp:inline>
        </w:drawing>
      </w:r>
    </w:p>
    <w:p w:rsidR="00DC4051" w:rsidRPr="00B06F08" w:rsidRDefault="00354F0C" w:rsidP="00DC4051">
      <w:pPr>
        <w:rPr>
          <w:noProof/>
        </w:rPr>
      </w:pPr>
      <w:r>
        <w:rPr>
          <w:noProof/>
        </w:rPr>
        <w:drawing>
          <wp:inline distT="0" distB="0" distL="0" distR="0">
            <wp:extent cx="6510655" cy="95250"/>
            <wp:effectExtent l="1905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510655" cy="95250"/>
                    </a:xfrm>
                    <a:prstGeom prst="rect">
                      <a:avLst/>
                    </a:prstGeom>
                    <a:noFill/>
                    <a:ln w="9525">
                      <a:noFill/>
                      <a:miter lim="800000"/>
                      <a:headEnd/>
                      <a:tailEnd/>
                    </a:ln>
                  </pic:spPr>
                </pic:pic>
              </a:graphicData>
            </a:graphic>
          </wp:inline>
        </w:drawing>
      </w:r>
    </w:p>
    <w:p w:rsidR="00B52821" w:rsidRPr="00B52821" w:rsidRDefault="00B52821" w:rsidP="00B52821">
      <w:pPr>
        <w:adjustRightInd w:val="0"/>
        <w:snapToGrid w:val="0"/>
        <w:spacing w:line="120" w:lineRule="exact"/>
        <w:rPr>
          <w:sz w:val="12"/>
          <w:szCs w:val="12"/>
        </w:rPr>
      </w:pPr>
    </w:p>
    <w:tbl>
      <w:tblPr>
        <w:tblW w:w="10275" w:type="dxa"/>
        <w:tblInd w:w="108" w:type="dxa"/>
        <w:tblLook w:val="01E0"/>
      </w:tblPr>
      <w:tblGrid>
        <w:gridCol w:w="7097"/>
        <w:gridCol w:w="336"/>
        <w:gridCol w:w="2842"/>
      </w:tblGrid>
      <w:tr w:rsidR="00E97F27" w:rsidRPr="00637735" w:rsidTr="00235691">
        <w:trPr>
          <w:trHeight w:val="471"/>
        </w:trPr>
        <w:tc>
          <w:tcPr>
            <w:tcW w:w="7097" w:type="dxa"/>
            <w:shd w:val="clear" w:color="auto" w:fill="981B20"/>
            <w:vAlign w:val="center"/>
          </w:tcPr>
          <w:p w:rsidR="00E97F27" w:rsidRPr="00540AA6" w:rsidRDefault="004B3AFD" w:rsidP="0008674A">
            <w:pPr>
              <w:rPr>
                <w:rFonts w:ascii="Arial" w:eastAsia="楷体_GB2312" w:hAnsi="Arial" w:cs="Arial"/>
                <w:b/>
                <w:color w:val="FFFFFF"/>
                <w:sz w:val="28"/>
                <w:szCs w:val="28"/>
              </w:rPr>
            </w:pPr>
            <w:r>
              <w:rPr>
                <w:rFonts w:ascii="Arial" w:eastAsia="楷体_GB2312" w:hAnsi="Arial" w:cs="Arial" w:hint="eastAsia"/>
                <w:b/>
                <w:color w:val="FFFFFF"/>
                <w:sz w:val="28"/>
                <w:szCs w:val="28"/>
              </w:rPr>
              <w:t>保险</w:t>
            </w:r>
            <w:r w:rsidR="006251CD" w:rsidRPr="00540AA6">
              <w:rPr>
                <w:rFonts w:ascii="Arial" w:eastAsia="楷体_GB2312" w:hAnsi="Arial" w:cs="Arial" w:hint="eastAsia"/>
                <w:b/>
                <w:color w:val="FFFFFF"/>
                <w:sz w:val="28"/>
                <w:szCs w:val="28"/>
              </w:rPr>
              <w:t>业：</w:t>
            </w:r>
            <w:r w:rsidR="00C2436A">
              <w:rPr>
                <w:rFonts w:ascii="Arial" w:eastAsia="楷体_GB2312" w:hAnsi="Arial" w:cs="Arial" w:hint="eastAsia"/>
                <w:b/>
                <w:color w:val="FFFFFF"/>
                <w:sz w:val="28"/>
                <w:szCs w:val="28"/>
              </w:rPr>
              <w:t>周报</w:t>
            </w:r>
            <w:r w:rsidR="00C23993">
              <w:rPr>
                <w:rFonts w:ascii="Arial" w:eastAsia="楷体_GB2312" w:hAnsi="Arial" w:cs="Arial" w:hint="eastAsia"/>
                <w:b/>
                <w:color w:val="FFFFFF"/>
                <w:sz w:val="28"/>
                <w:szCs w:val="28"/>
              </w:rPr>
              <w:t>（</w:t>
            </w:r>
            <w:r>
              <w:rPr>
                <w:rFonts w:ascii="Arial" w:eastAsia="楷体_GB2312" w:hAnsi="Arial" w:cs="Arial"/>
                <w:b/>
                <w:color w:val="FFFFFF"/>
                <w:sz w:val="28"/>
                <w:szCs w:val="28"/>
              </w:rPr>
              <w:t>2014.</w:t>
            </w:r>
            <w:r>
              <w:rPr>
                <w:rFonts w:ascii="Arial" w:eastAsia="楷体_GB2312" w:hAnsi="Arial" w:cs="Arial" w:hint="eastAsia"/>
                <w:b/>
                <w:color w:val="FFFFFF"/>
                <w:sz w:val="28"/>
                <w:szCs w:val="28"/>
              </w:rPr>
              <w:t>10.13-2014.10.17</w:t>
            </w:r>
            <w:r w:rsidR="00C23993">
              <w:rPr>
                <w:rFonts w:ascii="Arial" w:eastAsia="楷体_GB2312" w:hAnsi="Arial" w:cs="Arial" w:hint="eastAsia"/>
                <w:b/>
                <w:color w:val="FFFFFF"/>
                <w:sz w:val="28"/>
                <w:szCs w:val="28"/>
              </w:rPr>
              <w:t>）</w:t>
            </w:r>
            <w:r w:rsidR="00830026" w:rsidRPr="00540AA6">
              <w:rPr>
                <w:rFonts w:ascii="Arial" w:eastAsia="楷体_GB2312" w:hAnsi="Arial" w:cs="Arial"/>
                <w:b/>
                <w:color w:val="FFFFFF"/>
                <w:kern w:val="0"/>
                <w:sz w:val="28"/>
                <w:szCs w:val="28"/>
              </w:rPr>
              <w:t xml:space="preserve">          </w:t>
            </w:r>
          </w:p>
        </w:tc>
        <w:tc>
          <w:tcPr>
            <w:tcW w:w="336" w:type="dxa"/>
            <w:shd w:val="clear" w:color="auto" w:fill="981B20"/>
            <w:vAlign w:val="center"/>
          </w:tcPr>
          <w:p w:rsidR="00E97F27" w:rsidRPr="00637735" w:rsidRDefault="00E97F27" w:rsidP="00637735">
            <w:pPr>
              <w:jc w:val="center"/>
              <w:rPr>
                <w:color w:val="FFFFFF"/>
              </w:rPr>
            </w:pPr>
          </w:p>
        </w:tc>
        <w:tc>
          <w:tcPr>
            <w:tcW w:w="2842" w:type="dxa"/>
            <w:shd w:val="clear" w:color="auto" w:fill="981B20"/>
            <w:vAlign w:val="center"/>
          </w:tcPr>
          <w:p w:rsidR="00E97F27" w:rsidRPr="009D4250" w:rsidRDefault="009D4250" w:rsidP="0008674A">
            <w:pPr>
              <w:jc w:val="right"/>
              <w:rPr>
                <w:rFonts w:ascii="Arial" w:eastAsia="楷体_GB2312" w:hAnsi="Arial" w:cs="Arial"/>
                <w:b/>
                <w:color w:val="FFFFFF"/>
                <w:sz w:val="20"/>
                <w:szCs w:val="20"/>
              </w:rPr>
            </w:pPr>
            <w:r w:rsidRPr="009D4250">
              <w:rPr>
                <w:rFonts w:ascii="Arial" w:eastAsia="楷体_GB2312" w:hAnsi="Arial" w:cs="Arial" w:hint="eastAsia"/>
                <w:b/>
                <w:color w:val="FFFFFF"/>
                <w:sz w:val="20"/>
                <w:szCs w:val="20"/>
              </w:rPr>
              <w:t>2014</w:t>
            </w:r>
            <w:r w:rsidRPr="009D4250">
              <w:rPr>
                <w:rFonts w:ascii="Arial" w:eastAsia="楷体_GB2312" w:hAnsi="Arial" w:cs="Arial" w:hint="eastAsia"/>
                <w:b/>
                <w:color w:val="FFFFFF"/>
                <w:sz w:val="20"/>
                <w:szCs w:val="20"/>
              </w:rPr>
              <w:t>年</w:t>
            </w:r>
            <w:r w:rsidR="004B3AFD">
              <w:rPr>
                <w:rFonts w:ascii="Arial" w:eastAsia="楷体_GB2312" w:hAnsi="Arial" w:cs="Arial" w:hint="eastAsia"/>
                <w:b/>
                <w:color w:val="FFFFFF"/>
                <w:sz w:val="20"/>
                <w:szCs w:val="20"/>
              </w:rPr>
              <w:t>10</w:t>
            </w:r>
            <w:r w:rsidRPr="009D4250">
              <w:rPr>
                <w:rFonts w:ascii="Arial" w:eastAsia="楷体_GB2312" w:hAnsi="Arial" w:cs="Arial" w:hint="eastAsia"/>
                <w:b/>
                <w:color w:val="FFFFFF"/>
                <w:sz w:val="20"/>
                <w:szCs w:val="20"/>
              </w:rPr>
              <w:t>月</w:t>
            </w:r>
            <w:r w:rsidRPr="009D4250">
              <w:rPr>
                <w:rFonts w:ascii="Arial" w:eastAsia="楷体_GB2312" w:hAnsi="Arial" w:cs="Arial" w:hint="eastAsia"/>
                <w:b/>
                <w:color w:val="FFFFFF"/>
                <w:sz w:val="20"/>
                <w:szCs w:val="20"/>
              </w:rPr>
              <w:t>2</w:t>
            </w:r>
            <w:r w:rsidR="004B3AFD">
              <w:rPr>
                <w:rFonts w:ascii="Arial" w:eastAsia="楷体_GB2312" w:hAnsi="Arial" w:cs="Arial" w:hint="eastAsia"/>
                <w:b/>
                <w:color w:val="FFFFFF"/>
                <w:sz w:val="20"/>
                <w:szCs w:val="20"/>
              </w:rPr>
              <w:t>0</w:t>
            </w:r>
            <w:r w:rsidRPr="009D4250">
              <w:rPr>
                <w:rFonts w:ascii="Arial" w:eastAsia="楷体_GB2312" w:hAnsi="Arial" w:cs="Arial" w:hint="eastAsia"/>
                <w:b/>
                <w:color w:val="FFFFFF"/>
                <w:sz w:val="20"/>
                <w:szCs w:val="20"/>
              </w:rPr>
              <w:t>日</w:t>
            </w:r>
          </w:p>
        </w:tc>
      </w:tr>
      <w:tr w:rsidR="00637735" w:rsidRPr="00637735" w:rsidTr="00235691">
        <w:trPr>
          <w:trHeight w:val="1221"/>
        </w:trPr>
        <w:tc>
          <w:tcPr>
            <w:tcW w:w="7097" w:type="dxa"/>
            <w:tcBorders>
              <w:bottom w:val="thickThinSmallGap" w:sz="24" w:space="0" w:color="981B20"/>
            </w:tcBorders>
            <w:shd w:val="clear" w:color="auto" w:fill="auto"/>
            <w:vAlign w:val="center"/>
          </w:tcPr>
          <w:p w:rsidR="00E97F27" w:rsidRPr="00637735" w:rsidRDefault="00C0586A" w:rsidP="00645CE3">
            <w:pPr>
              <w:rPr>
                <w:rFonts w:ascii="Arial" w:eastAsia="楷体_GB2312" w:hAnsi="Arial" w:cs="Arial"/>
                <w:b/>
                <w:color w:val="FFFFFF"/>
              </w:rPr>
            </w:pPr>
            <w:r>
              <w:rPr>
                <w:rFonts w:ascii="Arial" w:eastAsia="楷体_GB2312" w:hAnsi="Arial" w:cs="Arial"/>
                <w:b/>
                <w:noProof/>
                <w:color w:val="FFFFFF"/>
              </w:rPr>
              <w:pict>
                <v:shape id="Text Box 12" o:spid="_x0000_s1063" type="#_x0000_t202" style="position:absolute;left:0;text-align:left;margin-left:-2.85pt;margin-top:6.7pt;width:351.2pt;height:54.6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j1sgIAALI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" filled="f" stroked="f">
                  <v:textbox style="mso-next-textbox:#Text Box 12" inset="0,0,0,0">
                    <w:txbxContent>
                      <w:p w:rsidR="003E7A73" w:rsidRPr="008A32AB" w:rsidRDefault="00542CEC" w:rsidP="008A32AB">
                        <w:pPr>
                          <w:jc w:val="center"/>
                          <w:rPr>
                            <w:rFonts w:ascii="Arial" w:eastAsia="楷体_GB2312" w:hAnsi="Arial" w:cs="Arial"/>
                            <w:b/>
                            <w:sz w:val="30"/>
                            <w:szCs w:val="30"/>
                          </w:rPr>
                        </w:pPr>
                        <w:r w:rsidRPr="00542CEC">
                          <w:rPr>
                            <w:rFonts w:ascii="楷体_GB2312" w:eastAsia="楷体_GB2312" w:hint="eastAsia"/>
                            <w:b/>
                            <w:sz w:val="30"/>
                            <w:szCs w:val="30"/>
                          </w:rPr>
                          <w:t>险资投资优先股规则出台</w:t>
                        </w:r>
                      </w:p>
                    </w:txbxContent>
                  </v:textbox>
                </v:shape>
              </w:pict>
            </w:r>
          </w:p>
        </w:tc>
        <w:tc>
          <w:tcPr>
            <w:tcW w:w="336" w:type="dxa"/>
            <w:shd w:val="clear" w:color="auto" w:fill="auto"/>
            <w:vAlign w:val="center"/>
          </w:tcPr>
          <w:p w:rsidR="00E97F27" w:rsidRPr="00637735" w:rsidRDefault="00C0586A" w:rsidP="00637735">
            <w:pPr>
              <w:jc w:val="center"/>
              <w:rPr>
                <w:color w:val="FFFFFF"/>
              </w:rPr>
            </w:pPr>
            <w:r>
              <w:rPr>
                <w:noProof/>
                <w:color w:val="FFFFFF"/>
              </w:rPr>
              <w:pict>
                <v:rect id="_x0000_s1506" style="position:absolute;left:0;text-align:left;margin-left:11.8pt;margin-top:603.15pt;width:141.05pt;height:20.35pt;z-index:-25166131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" fillcolor="#981b20" stroked="f">
                  <w10:wrap anchory="page"/>
                  <w10:anchorlock/>
                </v:rect>
              </w:pict>
            </w:r>
            <w:r>
              <w:rPr>
                <w:noProof/>
                <w:color w:val="FFFFFF"/>
              </w:rPr>
              <w:pict>
                <v:rect id="Rectangle 19" o:spid="_x0000_s1029" style="position:absolute;left:0;text-align:left;margin-left:11.95pt;margin-top:-21.15pt;width:141.05pt;height:644.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" fillcolor="#eaeaea" stroked="f">
                  <w10:anchorlock/>
                </v:rect>
              </w:pict>
            </w:r>
          </w:p>
        </w:tc>
        <w:tc>
          <w:tcPr>
            <w:tcW w:w="2842" w:type="dxa"/>
            <w:shd w:val="clear" w:color="auto" w:fill="auto"/>
            <w:vAlign w:val="center"/>
          </w:tcPr>
          <w:p w:rsidR="00E97F27" w:rsidRPr="009D4250" w:rsidRDefault="004B3AFD" w:rsidP="00235691">
            <w:pPr>
              <w:spacing w:line="400" w:lineRule="exact"/>
              <w:jc w:val="center"/>
              <w:rPr>
                <w:rFonts w:eastAsia="楷体_GB2312"/>
                <w:b/>
                <w:color w:val="981B20"/>
                <w:sz w:val="28"/>
                <w:szCs w:val="28"/>
              </w:rPr>
            </w:pPr>
            <w:r>
              <w:rPr>
                <w:rFonts w:eastAsia="楷体_GB2312" w:hint="eastAsia"/>
                <w:b/>
                <w:color w:val="981B20"/>
                <w:sz w:val="28"/>
                <w:szCs w:val="28"/>
              </w:rPr>
              <w:t>看好</w:t>
            </w:r>
            <w:r w:rsidR="002764AB">
              <w:rPr>
                <w:rFonts w:eastAsia="楷体_GB2312" w:hint="eastAsia"/>
                <w:b/>
                <w:color w:val="981B20"/>
                <w:sz w:val="28"/>
                <w:szCs w:val="28"/>
              </w:rPr>
              <w:t>（维持）</w:t>
            </w:r>
          </w:p>
        </w:tc>
      </w:tr>
    </w:tbl>
    <w:p w:rsidR="00010B30" w:rsidRPr="00846BEC" w:rsidRDefault="00010B30" w:rsidP="00010B30">
      <w:pPr>
        <w:tabs>
          <w:tab w:val="left" w:pos="420"/>
        </w:tabs>
        <w:adjustRightInd w:val="0"/>
        <w:snapToGrid w:val="0"/>
        <w:spacing w:line="40" w:lineRule="exact"/>
        <w:ind w:leftChars="-6" w:left="365" w:hangingChars="180" w:hanging="378"/>
        <w:rPr>
          <w:rFonts w:ascii="Arial" w:eastAsia="楷体_GB2312" w:hAnsi="Arial" w:cs="Arial"/>
          <w:color w:val="981B20"/>
          <w:szCs w:val="21"/>
        </w:rPr>
      </w:pPr>
    </w:p>
    <w:p w:rsidR="00457F36" w:rsidRPr="00066AD1" w:rsidRDefault="00C0586A" w:rsidP="00785A2B">
      <w:pPr>
        <w:pStyle w:val="00a"/>
        <w:spacing w:before="156"/>
      </w:pPr>
      <w:r>
        <w:rPr>
          <w:noProof/>
        </w:rPr>
        <w:pict>
          <v:shape id="Text Box 16" o:spid="_x0000_s1028" type="#_x0000_t202" style="position:absolute;left:0;text-align:left;margin-left:414.55pt;margin-top:.5pt;width:140.4pt;height:531.65pt;z-index:251652096;visibility:visible;mso-wrap-distance-left:22.7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" filled="f" stroked="f">
            <v:textbox style="mso-next-textbox:#Text Box 16" inset="2mm,0,2mm,0">
              <w:txbxContent>
                <w:p w:rsidR="003E7A73" w:rsidRPr="005D4FB2" w:rsidRDefault="003E7A73" w:rsidP="00D2625A">
                  <w:pPr>
                    <w:adjustRightInd w:val="0"/>
                    <w:snapToGrid w:val="0"/>
                    <w:spacing w:line="40" w:lineRule="exact"/>
                    <w:rPr>
                      <w:sz w:val="4"/>
                      <w:szCs w:val="4"/>
                    </w:rPr>
                  </w:pPr>
                </w:p>
                <w:tbl>
                  <w:tblPr>
                    <w:tblW w:w="2807" w:type="dxa"/>
                    <w:tblLook w:val="01E0"/>
                  </w:tblPr>
                  <w:tblGrid>
                    <w:gridCol w:w="2808"/>
                  </w:tblGrid>
                  <w:tr w:rsidR="003E7A73" w:rsidRPr="00637735" w:rsidTr="00C70331">
                    <w:tc>
                      <w:tcPr>
                        <w:tcW w:w="2807" w:type="dxa"/>
                        <w:shd w:val="clear" w:color="auto" w:fill="981B20"/>
                      </w:tcPr>
                      <w:p w:rsidR="003E7A73" w:rsidRPr="009D4250" w:rsidRDefault="003E7A73" w:rsidP="0008674A">
                        <w:pPr>
                          <w:tabs>
                            <w:tab w:val="right" w:pos="2340"/>
                          </w:tabs>
                          <w:ind w:rightChars="-24" w:right="-50"/>
                          <w:rPr>
                            <w:rFonts w:ascii="Arial" w:eastAsia="楷体_GB2312" w:hAnsi="Arial" w:cs="Arial"/>
                            <w:b/>
                            <w:color w:val="FFFFFF"/>
                            <w:sz w:val="18"/>
                            <w:szCs w:val="18"/>
                          </w:rPr>
                        </w:pPr>
                        <w:r w:rsidRPr="009D4250">
                          <w:rPr>
                            <w:rFonts w:ascii="Arial" w:eastAsia="楷体_GB2312" w:hAnsi="Arial" w:cs="Arial" w:hint="eastAsia"/>
                            <w:b/>
                            <w:color w:val="FFFFFF"/>
                            <w:sz w:val="18"/>
                            <w:szCs w:val="18"/>
                          </w:rPr>
                          <w:t>市场表现</w:t>
                        </w:r>
                        <w:r w:rsidRPr="009D4250">
                          <w:rPr>
                            <w:rFonts w:ascii="Arial" w:eastAsia="楷体_GB2312" w:hAnsi="Arial" w:cs="Arial" w:hint="eastAsia"/>
                            <w:b/>
                            <w:color w:val="FFFFFF"/>
                            <w:sz w:val="18"/>
                            <w:szCs w:val="18"/>
                          </w:rPr>
                          <w:tab/>
                        </w:r>
                        <w:r w:rsidRPr="009D4250">
                          <w:rPr>
                            <w:rFonts w:ascii="Arial" w:eastAsia="楷体_GB2312" w:hAnsi="Arial" w:cs="Arial" w:hint="eastAsia"/>
                            <w:b/>
                            <w:color w:val="FFFFFF"/>
                            <w:sz w:val="18"/>
                            <w:szCs w:val="18"/>
                          </w:rPr>
                          <w:t>截至</w:t>
                        </w:r>
                        <w:r w:rsidR="004B3AFD">
                          <w:rPr>
                            <w:rFonts w:ascii="Arial" w:eastAsia="楷体_GB2312" w:hAnsi="Arial" w:cs="Arial" w:hint="eastAsia"/>
                            <w:b/>
                            <w:color w:val="FFFFFF"/>
                            <w:sz w:val="18"/>
                            <w:szCs w:val="18"/>
                          </w:rPr>
                          <w:t>2014.10</w:t>
                        </w:r>
                        <w:r w:rsidRPr="009D4250">
                          <w:rPr>
                            <w:rFonts w:ascii="Arial" w:eastAsia="楷体_GB2312" w:hAnsi="Arial" w:cs="Arial" w:hint="eastAsia"/>
                            <w:b/>
                            <w:color w:val="FFFFFF"/>
                            <w:sz w:val="18"/>
                            <w:szCs w:val="18"/>
                          </w:rPr>
                          <w:t>.2</w:t>
                        </w:r>
                        <w:r w:rsidR="004B3AFD">
                          <w:rPr>
                            <w:rFonts w:ascii="Arial" w:eastAsia="楷体_GB2312" w:hAnsi="Arial" w:cs="Arial" w:hint="eastAsia"/>
                            <w:b/>
                            <w:color w:val="FFFFFF"/>
                            <w:sz w:val="18"/>
                            <w:szCs w:val="18"/>
                          </w:rPr>
                          <w:t>0</w:t>
                        </w:r>
                      </w:p>
                    </w:tc>
                  </w:tr>
                  <w:tr w:rsidR="003E7A73" w:rsidTr="00C70331">
                    <w:trPr>
                      <w:trHeight w:val="1826"/>
                    </w:trPr>
                    <w:tc>
                      <w:tcPr>
                        <w:tcW w:w="2807" w:type="dxa"/>
                        <w:tcBorders>
                          <w:bottom w:val="single" w:sz="8" w:space="0" w:color="800000"/>
                        </w:tcBorders>
                        <w:vAlign w:val="center"/>
                      </w:tcPr>
                      <w:p w:rsidR="003E7A73" w:rsidRDefault="00785A2B" w:rsidP="004E43C9">
                        <w:pPr>
                          <w:jc w:val="center"/>
                        </w:pPr>
                        <w:r w:rsidRPr="00785A2B">
                          <w:drawing>
                            <wp:inline distT="0" distB="0" distL="0" distR="0">
                              <wp:extent cx="1645920" cy="1353312"/>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E7A73" w:rsidTr="00C70331">
                    <w:trPr>
                      <w:trHeight w:val="2617"/>
                    </w:trPr>
                    <w:tc>
                      <w:tcPr>
                        <w:tcW w:w="2807" w:type="dxa"/>
                        <w:vAlign w:val="center"/>
                      </w:tcPr>
                      <w:p w:rsidR="003E7A73" w:rsidRPr="009E5358" w:rsidRDefault="003E7A73" w:rsidP="0045708F">
                        <w:pPr>
                          <w:jc w:val="center"/>
                          <w:rPr>
                            <w:noProof/>
                          </w:rPr>
                        </w:pPr>
                      </w:p>
                    </w:tc>
                  </w:tr>
                  <w:tr w:rsidR="003E7A73" w:rsidTr="00C70331">
                    <w:trPr>
                      <w:trHeight w:val="749"/>
                    </w:trPr>
                    <w:tc>
                      <w:tcPr>
                        <w:tcW w:w="2807" w:type="dxa"/>
                        <w:vAlign w:val="center"/>
                      </w:tcPr>
                      <w:p w:rsidR="003E7A73" w:rsidRPr="009E5358" w:rsidRDefault="003E7A73" w:rsidP="000D5C5E">
                        <w:pPr>
                          <w:jc w:val="center"/>
                          <w:rPr>
                            <w:noProof/>
                          </w:rPr>
                        </w:pPr>
                      </w:p>
                    </w:tc>
                  </w:tr>
                </w:tbl>
                <w:p w:rsidR="003E7A73" w:rsidRPr="00235691" w:rsidRDefault="003E7A73" w:rsidP="007F37AF">
                  <w:pPr>
                    <w:rPr>
                      <w:rFonts w:ascii="Arial" w:eastAsia="楷体_GB2312" w:hAnsi="Arial" w:cs="Arial"/>
                      <w:sz w:val="18"/>
                      <w:szCs w:val="18"/>
                    </w:rPr>
                  </w:pPr>
                </w:p>
                <w:p w:rsidR="00621F09" w:rsidRPr="00621F09" w:rsidRDefault="00785A2B" w:rsidP="00621F09">
                  <w:pPr>
                    <w:rPr>
                      <w:rFonts w:ascii="Arial" w:eastAsia="楷体_GB2312" w:hAnsi="Arial" w:cs="Arial"/>
                      <w:sz w:val="18"/>
                      <w:szCs w:val="18"/>
                    </w:rPr>
                  </w:pPr>
                  <w:r>
                    <w:rPr>
                      <w:rFonts w:ascii="Arial" w:eastAsia="楷体_GB2312" w:hAnsi="Arial" w:cs="Arial" w:hint="eastAsia"/>
                      <w:sz w:val="18"/>
                      <w:szCs w:val="18"/>
                    </w:rPr>
                    <w:t>分析师：赵莎莎</w:t>
                  </w:r>
                </w:p>
                <w:p w:rsidR="00621F09" w:rsidRPr="00621F09" w:rsidRDefault="00621F09" w:rsidP="00621F09">
                  <w:pPr>
                    <w:rPr>
                      <w:rFonts w:ascii="Arial" w:eastAsia="楷体_GB2312" w:hAnsi="Arial" w:cs="Arial"/>
                      <w:sz w:val="18"/>
                      <w:szCs w:val="18"/>
                    </w:rPr>
                  </w:pPr>
                  <w:r w:rsidRPr="00621F09">
                    <w:rPr>
                      <w:rFonts w:ascii="Arial" w:eastAsia="楷体_GB2312" w:hAnsi="Arial" w:cs="Arial" w:hint="eastAsia"/>
                      <w:sz w:val="18"/>
                      <w:szCs w:val="18"/>
                    </w:rPr>
                    <w:t>执业证书号：</w:t>
                  </w:r>
                  <w:r w:rsidR="00A404CD" w:rsidRPr="00480F6C">
                    <w:rPr>
                      <w:rFonts w:ascii="Arial" w:eastAsia="楷体_GB2312" w:hAnsi="Arial" w:cs="Arial" w:hint="eastAsia"/>
                      <w:sz w:val="18"/>
                      <w:szCs w:val="18"/>
                    </w:rPr>
                    <w:t>S1490514030002</w:t>
                  </w:r>
                </w:p>
                <w:p w:rsidR="00621F09" w:rsidRPr="00621F09" w:rsidRDefault="00621F09" w:rsidP="00621F09">
                  <w:pPr>
                    <w:rPr>
                      <w:rFonts w:ascii="Arial" w:eastAsia="楷体_GB2312" w:hAnsi="Arial" w:cs="Arial"/>
                      <w:sz w:val="18"/>
                      <w:szCs w:val="18"/>
                    </w:rPr>
                  </w:pPr>
                  <w:r w:rsidRPr="00621F09">
                    <w:rPr>
                      <w:rFonts w:ascii="Arial" w:eastAsia="楷体_GB2312" w:hAnsi="Arial" w:cs="Arial" w:hint="eastAsia"/>
                      <w:sz w:val="18"/>
                      <w:szCs w:val="18"/>
                    </w:rPr>
                    <w:t>电话：</w:t>
                  </w:r>
                  <w:r w:rsidR="00785A2B">
                    <w:rPr>
                      <w:rFonts w:ascii="Arial" w:eastAsia="楷体_GB2312" w:hAnsi="Arial" w:cs="Arial" w:hint="eastAsia"/>
                      <w:sz w:val="18"/>
                      <w:szCs w:val="18"/>
                    </w:rPr>
                    <w:t>010- 58566806</w:t>
                  </w:r>
                </w:p>
                <w:p w:rsidR="00621F09" w:rsidRPr="00785A2B" w:rsidRDefault="00621F09" w:rsidP="00621F09">
                  <w:pPr>
                    <w:rPr>
                      <w:rFonts w:ascii="Arial" w:eastAsia="楷体_GB2312" w:hAnsi="Arial" w:cs="Arial"/>
                      <w:sz w:val="15"/>
                      <w:szCs w:val="15"/>
                    </w:rPr>
                  </w:pPr>
                  <w:r w:rsidRPr="00621F09">
                    <w:rPr>
                      <w:rFonts w:ascii="Arial" w:eastAsia="楷体_GB2312" w:hAnsi="Arial" w:cs="Arial" w:hint="eastAsia"/>
                      <w:sz w:val="18"/>
                      <w:szCs w:val="18"/>
                    </w:rPr>
                    <w:t>邮箱：</w:t>
                  </w:r>
                  <w:r w:rsidR="00785A2B" w:rsidRPr="00785A2B">
                    <w:rPr>
                      <w:rFonts w:ascii="Arial" w:eastAsia="楷体_GB2312" w:hAnsi="Arial" w:cs="Arial" w:hint="eastAsia"/>
                      <w:sz w:val="15"/>
                      <w:szCs w:val="15"/>
                    </w:rPr>
                    <w:t>zhaoshasha</w:t>
                  </w:r>
                  <w:r w:rsidRPr="00785A2B">
                    <w:rPr>
                      <w:rFonts w:ascii="Arial" w:eastAsia="楷体_GB2312" w:hAnsi="Arial" w:cs="Arial" w:hint="eastAsia"/>
                      <w:sz w:val="15"/>
                      <w:szCs w:val="15"/>
                    </w:rPr>
                    <w:t>@hrsec.com.cn</w:t>
                  </w:r>
                </w:p>
                <w:p w:rsidR="00621F09" w:rsidRPr="00785A2B" w:rsidRDefault="00621F09" w:rsidP="00621F09">
                  <w:pPr>
                    <w:rPr>
                      <w:rFonts w:ascii="Arial" w:eastAsia="楷体_GB2312" w:hAnsi="Arial" w:cs="Arial"/>
                      <w:sz w:val="18"/>
                      <w:szCs w:val="18"/>
                    </w:rPr>
                  </w:pPr>
                </w:p>
                <w:p w:rsidR="00235691" w:rsidRPr="00235691" w:rsidRDefault="00235691" w:rsidP="00457F36">
                  <w:pPr>
                    <w:rPr>
                      <w:rFonts w:ascii="Arial" w:eastAsia="楷体_GB2312" w:hAnsi="Arial" w:cs="Arial"/>
                      <w:sz w:val="18"/>
                      <w:szCs w:val="18"/>
                    </w:rPr>
                  </w:pPr>
                </w:p>
                <w:p w:rsidR="00235691" w:rsidRPr="00235691" w:rsidRDefault="00235691" w:rsidP="00457F36">
                  <w:pPr>
                    <w:rPr>
                      <w:rFonts w:ascii="Arial" w:eastAsia="楷体_GB2312" w:hAnsi="Arial" w:cs="Arial"/>
                      <w:sz w:val="18"/>
                      <w:szCs w:val="18"/>
                    </w:rPr>
                  </w:pPr>
                </w:p>
              </w:txbxContent>
            </v:textbox>
            <w10:wrap anchorx="page"/>
          </v:shape>
        </w:pict>
      </w:r>
      <w:r w:rsidR="00354F0C">
        <w:rPr>
          <w:noProof/>
        </w:rPr>
        <w:drawing>
          <wp:inline distT="0" distB="0" distL="0" distR="0">
            <wp:extent cx="124460" cy="12446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24460" cy="124460"/>
                    </a:xfrm>
                    <a:prstGeom prst="rect">
                      <a:avLst/>
                    </a:prstGeom>
                    <a:noFill/>
                    <a:ln w="9525">
                      <a:noFill/>
                      <a:miter lim="800000"/>
                      <a:headEnd/>
                      <a:tailEnd/>
                    </a:ln>
                  </pic:spPr>
                </pic:pic>
              </a:graphicData>
            </a:graphic>
          </wp:inline>
        </w:drawing>
      </w:r>
      <w:r w:rsidR="0045708F">
        <w:rPr>
          <w:rFonts w:hint="eastAsia"/>
        </w:rPr>
        <w:tab/>
      </w:r>
      <w:r w:rsidR="00A404CD">
        <w:rPr>
          <w:rFonts w:hint="eastAsia"/>
        </w:rPr>
        <w:t>行业动态</w:t>
      </w:r>
    </w:p>
    <w:p w:rsidR="00542CEC" w:rsidRDefault="00542CEC" w:rsidP="006252DC">
      <w:pPr>
        <w:pStyle w:val="01"/>
        <w:ind w:rightChars="1484" w:right="3116"/>
      </w:pPr>
      <w:bookmarkStart w:id="0" w:name="OLE_LINK4"/>
      <w:bookmarkStart w:id="1" w:name="OLE_LINK5"/>
      <w:r w:rsidRPr="00542CEC">
        <w:t>保监会</w:t>
      </w:r>
      <w:r w:rsidRPr="00542CEC">
        <w:rPr>
          <w:rFonts w:hint="eastAsia"/>
        </w:rPr>
        <w:t>10</w:t>
      </w:r>
      <w:r w:rsidRPr="00542CEC">
        <w:rPr>
          <w:rFonts w:hint="eastAsia"/>
        </w:rPr>
        <w:t>月</w:t>
      </w:r>
      <w:r w:rsidRPr="00542CEC">
        <w:rPr>
          <w:rFonts w:hint="eastAsia"/>
        </w:rPr>
        <w:t>17</w:t>
      </w:r>
      <w:r w:rsidRPr="00542CEC">
        <w:rPr>
          <w:rFonts w:hint="eastAsia"/>
        </w:rPr>
        <w:t>日</w:t>
      </w:r>
      <w:r w:rsidRPr="00542CEC">
        <w:t>印发了《关于保险资金投资优先股有关事项的通知》</w:t>
      </w:r>
      <w:r>
        <w:rPr>
          <w:rFonts w:hint="eastAsia"/>
        </w:rPr>
        <w:t>。《通知》主要包括优先股的资产分类和信用评估要求等五方面主要内容，</w:t>
      </w:r>
      <w:r w:rsidRPr="00542CEC">
        <w:t>是贯彻落实《国务院关于加快发展现代保险服务业的若干意见》的重要举措。</w:t>
      </w:r>
    </w:p>
    <w:bookmarkEnd w:id="0"/>
    <w:bookmarkEnd w:id="1"/>
    <w:p w:rsidR="00457F36" w:rsidRPr="00C7123C" w:rsidRDefault="00354F0C" w:rsidP="00785A2B">
      <w:pPr>
        <w:pStyle w:val="00a"/>
        <w:spacing w:before="156"/>
      </w:pPr>
      <w:r>
        <w:rPr>
          <w:noProof/>
        </w:rPr>
        <w:drawing>
          <wp:inline distT="0" distB="0" distL="0" distR="0">
            <wp:extent cx="124460" cy="12446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24460" cy="124460"/>
                    </a:xfrm>
                    <a:prstGeom prst="rect">
                      <a:avLst/>
                    </a:prstGeom>
                    <a:noFill/>
                    <a:ln w="9525">
                      <a:noFill/>
                      <a:miter lim="800000"/>
                      <a:headEnd/>
                      <a:tailEnd/>
                    </a:ln>
                  </pic:spPr>
                </pic:pic>
              </a:graphicData>
            </a:graphic>
          </wp:inline>
        </w:drawing>
      </w:r>
      <w:r w:rsidR="00457F36" w:rsidRPr="00C7123C">
        <w:rPr>
          <w:rFonts w:hint="eastAsia"/>
        </w:rPr>
        <w:tab/>
      </w:r>
      <w:r w:rsidR="00A404CD">
        <w:rPr>
          <w:rFonts w:hint="eastAsia"/>
        </w:rPr>
        <w:t>公司动态</w:t>
      </w:r>
    </w:p>
    <w:p w:rsidR="001B1B8B" w:rsidRDefault="00542CEC" w:rsidP="00A404CD">
      <w:pPr>
        <w:pStyle w:val="01"/>
        <w:ind w:rightChars="1484" w:right="3116"/>
        <w:rPr>
          <w:rFonts w:hint="eastAsia"/>
        </w:rPr>
      </w:pPr>
      <w:r w:rsidRPr="00542CEC">
        <w:rPr>
          <w:rFonts w:hint="eastAsia"/>
        </w:rPr>
        <w:t>华泰保险一天四次挂牌　共转让约</w:t>
      </w:r>
      <w:r w:rsidRPr="00542CEC">
        <w:rPr>
          <w:rFonts w:hint="eastAsia"/>
        </w:rPr>
        <w:t>2.5</w:t>
      </w:r>
      <w:r w:rsidRPr="00542CEC">
        <w:rPr>
          <w:rFonts w:hint="eastAsia"/>
        </w:rPr>
        <w:t>亿股；</w:t>
      </w:r>
    </w:p>
    <w:p w:rsidR="00542CEC" w:rsidRDefault="00542CEC" w:rsidP="00A404CD">
      <w:pPr>
        <w:pStyle w:val="01"/>
        <w:ind w:rightChars="1484" w:right="3116"/>
        <w:rPr>
          <w:rFonts w:hint="eastAsia"/>
        </w:rPr>
      </w:pPr>
      <w:r>
        <w:rPr>
          <w:rFonts w:hint="eastAsia"/>
        </w:rPr>
        <w:t>复兴国际收购葡萄牙</w:t>
      </w:r>
      <w:r>
        <w:rPr>
          <w:rFonts w:hint="eastAsia"/>
        </w:rPr>
        <w:t xml:space="preserve">ESS </w:t>
      </w:r>
      <w:r>
        <w:rPr>
          <w:rFonts w:hint="eastAsia"/>
        </w:rPr>
        <w:t>深化“保险</w:t>
      </w:r>
      <w:r>
        <w:rPr>
          <w:rFonts w:hint="eastAsia"/>
        </w:rPr>
        <w:t>+</w:t>
      </w:r>
      <w:r>
        <w:rPr>
          <w:rFonts w:hint="eastAsia"/>
        </w:rPr>
        <w:t>投资”战略；</w:t>
      </w:r>
    </w:p>
    <w:p w:rsidR="00542CEC" w:rsidRDefault="00542CEC" w:rsidP="00A404CD">
      <w:pPr>
        <w:pStyle w:val="01"/>
        <w:ind w:rightChars="1484" w:right="3116"/>
        <w:rPr>
          <w:rFonts w:hint="eastAsia"/>
        </w:rPr>
      </w:pPr>
      <w:r>
        <w:rPr>
          <w:rFonts w:hint="eastAsia"/>
        </w:rPr>
        <w:t>太保首批轻资产为主的养老产业差异化发展</w:t>
      </w:r>
      <w:r w:rsidR="00844741">
        <w:rPr>
          <w:rFonts w:hint="eastAsia"/>
        </w:rPr>
        <w:t>策略；</w:t>
      </w:r>
    </w:p>
    <w:p w:rsidR="00844741" w:rsidRDefault="00844741" w:rsidP="00844741">
      <w:pPr>
        <w:pStyle w:val="01"/>
        <w:ind w:rightChars="1484" w:right="3116"/>
      </w:pPr>
      <w:r>
        <w:rPr>
          <w:rFonts w:hint="eastAsia"/>
        </w:rPr>
        <w:t>9</w:t>
      </w:r>
      <w:r>
        <w:rPr>
          <w:rFonts w:hint="eastAsia"/>
        </w:rPr>
        <w:t>月寿险保费出炉：国寿明显转正，平安增速平稳。</w:t>
      </w:r>
    </w:p>
    <w:p w:rsidR="00457F36" w:rsidRPr="00066AD1" w:rsidRDefault="00354F0C" w:rsidP="00785A2B">
      <w:pPr>
        <w:pStyle w:val="00a"/>
        <w:spacing w:before="156"/>
        <w:ind w:rightChars="1484" w:right="3116"/>
      </w:pPr>
      <w:r>
        <w:rPr>
          <w:noProof/>
        </w:rPr>
        <w:drawing>
          <wp:inline distT="0" distB="0" distL="0" distR="0">
            <wp:extent cx="124460" cy="12446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4460" cy="124460"/>
                    </a:xfrm>
                    <a:prstGeom prst="rect">
                      <a:avLst/>
                    </a:prstGeom>
                    <a:noFill/>
                    <a:ln w="9525">
                      <a:noFill/>
                      <a:miter lim="800000"/>
                      <a:headEnd/>
                      <a:tailEnd/>
                    </a:ln>
                  </pic:spPr>
                </pic:pic>
              </a:graphicData>
            </a:graphic>
          </wp:inline>
        </w:drawing>
      </w:r>
      <w:r w:rsidR="00457F36">
        <w:rPr>
          <w:rFonts w:hint="eastAsia"/>
        </w:rPr>
        <w:tab/>
      </w:r>
      <w:r w:rsidR="00A404CD">
        <w:rPr>
          <w:rFonts w:hint="eastAsia"/>
        </w:rPr>
        <w:t>行情回顾</w:t>
      </w:r>
    </w:p>
    <w:p w:rsidR="00644165" w:rsidRDefault="00644165" w:rsidP="00644165">
      <w:pPr>
        <w:pStyle w:val="01"/>
        <w:ind w:rightChars="1484" w:right="3116"/>
        <w:rPr>
          <w:rFonts w:hint="eastAsia"/>
        </w:rPr>
      </w:pPr>
      <w:r w:rsidRPr="00644165">
        <w:rPr>
          <w:rFonts w:hint="eastAsia"/>
        </w:rPr>
        <w:t>上周（</w:t>
      </w:r>
      <w:r w:rsidRPr="00644165">
        <w:rPr>
          <w:rFonts w:hint="eastAsia"/>
        </w:rPr>
        <w:t>10</w:t>
      </w:r>
      <w:r w:rsidRPr="00644165">
        <w:rPr>
          <w:rFonts w:hint="eastAsia"/>
        </w:rPr>
        <w:t>月</w:t>
      </w:r>
      <w:r>
        <w:rPr>
          <w:rFonts w:hint="eastAsia"/>
        </w:rPr>
        <w:t>13</w:t>
      </w:r>
      <w:r w:rsidRPr="00644165">
        <w:rPr>
          <w:rFonts w:hint="eastAsia"/>
        </w:rPr>
        <w:t>日</w:t>
      </w:r>
      <w:r w:rsidRPr="00644165">
        <w:rPr>
          <w:rFonts w:hint="eastAsia"/>
        </w:rPr>
        <w:t>-10</w:t>
      </w:r>
      <w:r w:rsidRPr="00644165">
        <w:rPr>
          <w:rFonts w:hint="eastAsia"/>
        </w:rPr>
        <w:t>月</w:t>
      </w:r>
      <w:r>
        <w:rPr>
          <w:rFonts w:hint="eastAsia"/>
        </w:rPr>
        <w:t>17</w:t>
      </w:r>
      <w:r w:rsidRPr="00644165">
        <w:rPr>
          <w:rFonts w:hint="eastAsia"/>
        </w:rPr>
        <w:t>日）保险行业指数（中信）下跌</w:t>
      </w:r>
      <w:r>
        <w:rPr>
          <w:rFonts w:hint="eastAsia"/>
        </w:rPr>
        <w:t>0.39</w:t>
      </w:r>
      <w:r w:rsidRPr="00644165">
        <w:rPr>
          <w:rFonts w:hint="eastAsia"/>
        </w:rPr>
        <w:t>%</w:t>
      </w:r>
      <w:r w:rsidRPr="00644165">
        <w:rPr>
          <w:rFonts w:hint="eastAsia"/>
        </w:rPr>
        <w:t>，同期沪深</w:t>
      </w:r>
      <w:r w:rsidRPr="00644165">
        <w:rPr>
          <w:rFonts w:hint="eastAsia"/>
        </w:rPr>
        <w:t>300</w:t>
      </w:r>
      <w:r>
        <w:rPr>
          <w:rFonts w:hint="eastAsia"/>
        </w:rPr>
        <w:t>下跌</w:t>
      </w:r>
      <w:r>
        <w:rPr>
          <w:rFonts w:hint="eastAsia"/>
        </w:rPr>
        <w:t>1.02</w:t>
      </w:r>
      <w:r w:rsidRPr="00644165">
        <w:rPr>
          <w:rFonts w:hint="eastAsia"/>
        </w:rPr>
        <w:t>%</w:t>
      </w:r>
      <w:r>
        <w:rPr>
          <w:rFonts w:hint="eastAsia"/>
        </w:rPr>
        <w:t>，保险行业指数跑赢</w:t>
      </w:r>
      <w:r w:rsidRPr="00644165">
        <w:rPr>
          <w:rFonts w:hint="eastAsia"/>
        </w:rPr>
        <w:t>沪深</w:t>
      </w:r>
      <w:r w:rsidRPr="00644165">
        <w:rPr>
          <w:rFonts w:hint="eastAsia"/>
        </w:rPr>
        <w:t>300</w:t>
      </w:r>
      <w:r w:rsidRPr="00644165">
        <w:rPr>
          <w:rFonts w:hint="eastAsia"/>
        </w:rPr>
        <w:t>指数约</w:t>
      </w:r>
      <w:r>
        <w:rPr>
          <w:rFonts w:hint="eastAsia"/>
        </w:rPr>
        <w:t>0.62</w:t>
      </w:r>
      <w:r w:rsidRPr="00644165">
        <w:rPr>
          <w:rFonts w:hint="eastAsia"/>
        </w:rPr>
        <w:t>个百分点。</w:t>
      </w:r>
    </w:p>
    <w:p w:rsidR="000632C0" w:rsidRDefault="00354F0C" w:rsidP="00785A2B">
      <w:pPr>
        <w:pStyle w:val="00a"/>
        <w:spacing w:before="156"/>
        <w:ind w:rightChars="1484" w:right="3116"/>
      </w:pPr>
      <w:r>
        <w:rPr>
          <w:noProof/>
        </w:rPr>
        <w:drawing>
          <wp:inline distT="0" distB="0" distL="0" distR="0">
            <wp:extent cx="124460" cy="12446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4460" cy="124460"/>
                    </a:xfrm>
                    <a:prstGeom prst="rect">
                      <a:avLst/>
                    </a:prstGeom>
                    <a:noFill/>
                    <a:ln w="9525">
                      <a:noFill/>
                      <a:miter lim="800000"/>
                      <a:headEnd/>
                      <a:tailEnd/>
                    </a:ln>
                  </pic:spPr>
                </pic:pic>
              </a:graphicData>
            </a:graphic>
          </wp:inline>
        </w:drawing>
      </w:r>
      <w:r w:rsidR="000632C0">
        <w:rPr>
          <w:rFonts w:hint="eastAsia"/>
        </w:rPr>
        <w:tab/>
      </w:r>
      <w:r w:rsidR="00A404CD">
        <w:rPr>
          <w:rFonts w:hint="eastAsia"/>
        </w:rPr>
        <w:t>投资策略</w:t>
      </w:r>
    </w:p>
    <w:p w:rsidR="00A404CD" w:rsidRPr="00EE49E7" w:rsidRDefault="00A404CD" w:rsidP="00A404CD">
      <w:pPr>
        <w:pStyle w:val="01"/>
        <w:ind w:rightChars="1484" w:right="3116"/>
      </w:pPr>
      <w:r w:rsidRPr="00EE49E7">
        <w:rPr>
          <w:rFonts w:hint="eastAsia"/>
        </w:rPr>
        <w:t>从基本面看，四家上市险企的上半年保费同比增长近</w:t>
      </w:r>
      <w:r w:rsidRPr="00EE49E7">
        <w:rPr>
          <w:rFonts w:hint="eastAsia"/>
        </w:rPr>
        <w:t>11%</w:t>
      </w:r>
      <w:r w:rsidRPr="00EE49E7">
        <w:rPr>
          <w:rFonts w:hint="eastAsia"/>
        </w:rPr>
        <w:t>，可以判断保险行业已经扭转了过去两年的低迷增长态势。险资投资运用余额今年以来持续提升。随着资本市场投资收益率的改善，以及创新投资工具和投资渠道的拓展，险资投资收益较往年明显改善。截至上半年末，上市四家险企的加权净资产收益率全部大幅提升，总资产收益率也稳中有升。从政策消息面看，７月上旬国务院关于加快发展现代保险服务业的五项工作顶层设计将加快推动未来各项工作实施细则的出台。这五项内容分别是：一是促进保险与保障紧密衔接，把商业保险建成社会保障体系的重要支柱；二是将保险纳入灾害事故防范救助体系；三是通过保险推进产业升级；四是运用保险机制创新公共服务；五是深化保险业改革开放。我们对于政策预保持乐观。我们维持保险业“看好”评级。</w:t>
      </w:r>
    </w:p>
    <w:p w:rsidR="00FB3C04" w:rsidRPr="00A404CD" w:rsidRDefault="00FB3C04" w:rsidP="00FB3C04">
      <w:pPr>
        <w:pStyle w:val="01"/>
        <w:ind w:rightChars="1484" w:right="3116"/>
      </w:pPr>
    </w:p>
    <w:p w:rsidR="000632C0" w:rsidRDefault="00354F0C" w:rsidP="00785A2B">
      <w:pPr>
        <w:pStyle w:val="00a"/>
        <w:spacing w:before="156"/>
        <w:ind w:rightChars="1484" w:right="3116"/>
      </w:pPr>
      <w:r>
        <w:rPr>
          <w:noProof/>
        </w:rPr>
        <w:drawing>
          <wp:inline distT="0" distB="0" distL="0" distR="0">
            <wp:extent cx="124460" cy="12446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4460" cy="124460"/>
                    </a:xfrm>
                    <a:prstGeom prst="rect">
                      <a:avLst/>
                    </a:prstGeom>
                    <a:noFill/>
                    <a:ln w="9525">
                      <a:noFill/>
                      <a:miter lim="800000"/>
                      <a:headEnd/>
                      <a:tailEnd/>
                    </a:ln>
                  </pic:spPr>
                </pic:pic>
              </a:graphicData>
            </a:graphic>
          </wp:inline>
        </w:drawing>
      </w:r>
      <w:r w:rsidR="000632C0">
        <w:rPr>
          <w:rFonts w:hint="eastAsia"/>
        </w:rPr>
        <w:tab/>
      </w:r>
      <w:r w:rsidR="000632C0">
        <w:rPr>
          <w:rFonts w:hint="eastAsia"/>
        </w:rPr>
        <w:t>风险提示</w:t>
      </w:r>
    </w:p>
    <w:p w:rsidR="00A404CD" w:rsidRPr="00EE49E7" w:rsidRDefault="00A404CD" w:rsidP="00A404CD">
      <w:pPr>
        <w:pStyle w:val="01"/>
        <w:ind w:rightChars="1484" w:right="3116"/>
      </w:pPr>
      <w:r w:rsidRPr="00EE49E7">
        <w:rPr>
          <w:rFonts w:hint="eastAsia"/>
        </w:rPr>
        <w:t>宏观经济下行压力加大；债券投资收益不振，创新类投资渠道风险加大；新政缓慢或收紧。</w:t>
      </w:r>
    </w:p>
    <w:p w:rsidR="00BC3452" w:rsidRPr="00A404CD" w:rsidRDefault="00BC3452" w:rsidP="008A78C2">
      <w:pPr>
        <w:pStyle w:val="01"/>
        <w:ind w:rightChars="1484" w:right="3116"/>
      </w:pPr>
    </w:p>
    <w:p w:rsidR="0031503A" w:rsidRPr="00BC3452" w:rsidRDefault="00C0586A" w:rsidP="0031503A">
      <w:pPr>
        <w:pStyle w:val="0002"/>
        <w:spacing w:after="93"/>
        <w:ind w:left="315" w:right="3990"/>
      </w:pPr>
      <w:r>
        <w:rPr>
          <w:noProof/>
        </w:rPr>
        <w:pict>
          <v:shape id="_x0000_s1509" type="#_x0000_t202" style="position:absolute;left:0;text-align:left;margin-left:372.2pt;margin-top:743.65pt;width:137.15pt;height:24.9pt;z-index:251656192;mso-position-horizontal-relative:margin;mso-position-vertical-relative:page" filled="f" stroked="f">
            <v:textbox style="mso-next-textbox:#_x0000_s1509">
              <w:txbxContent>
                <w:p w:rsidR="009B6438" w:rsidRPr="00540AA6" w:rsidRDefault="009B6438" w:rsidP="00441001">
                  <w:pPr>
                    <w:jc w:val="center"/>
                    <w:rPr>
                      <w:szCs w:val="21"/>
                    </w:rPr>
                  </w:pPr>
                  <w:r w:rsidRPr="00540AA6">
                    <w:rPr>
                      <w:rFonts w:ascii="Arial" w:eastAsia="楷体_GB2312" w:hAnsi="Arial" w:cs="Arial" w:hint="eastAsia"/>
                      <w:b/>
                      <w:color w:val="FFFFFF"/>
                      <w:szCs w:val="21"/>
                    </w:rPr>
                    <w:t>证券研究报告</w:t>
                  </w:r>
                </w:p>
              </w:txbxContent>
            </v:textbox>
            <w10:wrap anchorx="margin" anchory="page"/>
            <w10:anchorlock/>
          </v:shape>
        </w:pict>
      </w:r>
    </w:p>
    <w:p w:rsidR="00A6234A" w:rsidRDefault="00A6234A" w:rsidP="005A7504">
      <w:pPr>
        <w:pBdr>
          <w:bottom w:val="single" w:sz="8" w:space="1" w:color="981B20"/>
        </w:pBdr>
        <w:jc w:val="left"/>
        <w:sectPr w:rsidR="00A6234A" w:rsidSect="00A67318">
          <w:headerReference w:type="even" r:id="rId12"/>
          <w:headerReference w:type="default" r:id="rId13"/>
          <w:footerReference w:type="even" r:id="rId14"/>
          <w:footerReference w:type="default" r:id="rId15"/>
          <w:headerReference w:type="first" r:id="rId16"/>
          <w:footerReference w:type="first" r:id="rId17"/>
          <w:pgSz w:w="11907" w:h="16443" w:code="9"/>
          <w:pgMar w:top="680" w:right="851" w:bottom="1021" w:left="851" w:header="680" w:footer="851" w:gutter="0"/>
          <w:cols w:space="425"/>
          <w:titlePg/>
          <w:docGrid w:type="lines" w:linePitch="312"/>
        </w:sectPr>
      </w:pPr>
    </w:p>
    <w:p w:rsidR="00834245" w:rsidRPr="00954EDD" w:rsidRDefault="00834245" w:rsidP="0031503A">
      <w:pPr>
        <w:pBdr>
          <w:bottom w:val="single" w:sz="8" w:space="1" w:color="981B20"/>
        </w:pBdr>
        <w:jc w:val="center"/>
        <w:rPr>
          <w:rFonts w:ascii="Arial" w:eastAsia="楷体_GB2312" w:hAnsi="Arial" w:cs="Arial"/>
          <w:b/>
          <w:color w:val="981B20"/>
          <w:kern w:val="0"/>
          <w:sz w:val="24"/>
        </w:rPr>
      </w:pPr>
      <w:r w:rsidRPr="005A7504">
        <w:rPr>
          <w:rFonts w:ascii="楷体_GB2312" w:eastAsia="楷体_GB2312"/>
          <w:b/>
          <w:color w:val="981B20"/>
          <w:sz w:val="24"/>
        </w:rPr>
        <w:lastRenderedPageBreak/>
        <w:t>目</w:t>
      </w:r>
      <w:r w:rsidR="00575CF9">
        <w:rPr>
          <w:rFonts w:ascii="楷体_GB2312" w:eastAsia="楷体_GB2312" w:hint="eastAsia"/>
          <w:b/>
          <w:color w:val="981B20"/>
          <w:sz w:val="24"/>
        </w:rPr>
        <w:t xml:space="preserve"> </w:t>
      </w:r>
      <w:r w:rsidRPr="005A7504">
        <w:rPr>
          <w:rFonts w:ascii="楷体_GB2312" w:eastAsia="楷体_GB2312"/>
          <w:b/>
          <w:color w:val="981B20"/>
          <w:sz w:val="24"/>
        </w:rPr>
        <w:t>录</w:t>
      </w:r>
    </w:p>
    <w:p w:rsidR="0062504B" w:rsidRDefault="00C0586A">
      <w:pPr>
        <w:pStyle w:val="10"/>
        <w:rPr>
          <w:rFonts w:asciiTheme="minorHAnsi" w:eastAsiaTheme="minorEastAsia" w:hAnsiTheme="minorHAnsi" w:cstheme="minorBidi"/>
          <w:b w:val="0"/>
          <w:bCs w:val="0"/>
          <w:caps w:val="0"/>
          <w:sz w:val="21"/>
          <w:szCs w:val="22"/>
        </w:rPr>
      </w:pPr>
      <w:r w:rsidRPr="00C0586A">
        <w:rPr>
          <w:rFonts w:ascii="Arial" w:hAnsi="Arial" w:cs="Arial"/>
          <w:b w:val="0"/>
          <w:bCs w:val="0"/>
          <w:caps w:val="0"/>
          <w:kern w:val="0"/>
          <w:u w:color="800000"/>
        </w:rPr>
        <w:fldChar w:fldCharType="begin"/>
      </w:r>
      <w:r w:rsidR="006251CD">
        <w:rPr>
          <w:rFonts w:ascii="Arial" w:hAnsi="Arial" w:cs="Arial"/>
          <w:b w:val="0"/>
          <w:bCs w:val="0"/>
          <w:caps w:val="0"/>
          <w:kern w:val="0"/>
          <w:u w:color="800000"/>
        </w:rPr>
        <w:instrText xml:space="preserve"> TOC \t "2_(</w:instrText>
      </w:r>
      <w:r w:rsidR="006251CD">
        <w:rPr>
          <w:rFonts w:ascii="Arial" w:hAnsi="Arial" w:cs="Arial"/>
          <w:b w:val="0"/>
          <w:bCs w:val="0"/>
          <w:caps w:val="0"/>
          <w:kern w:val="0"/>
          <w:u w:color="800000"/>
        </w:rPr>
        <w:instrText>一</w:instrText>
      </w:r>
      <w:r w:rsidR="006251CD">
        <w:rPr>
          <w:rFonts w:ascii="Arial" w:hAnsi="Arial" w:cs="Arial"/>
          <w:b w:val="0"/>
          <w:bCs w:val="0"/>
          <w:caps w:val="0"/>
          <w:kern w:val="0"/>
          <w:u w:color="800000"/>
        </w:rPr>
        <w:instrText>)</w:instrText>
      </w:r>
      <w:r w:rsidR="006251CD">
        <w:rPr>
          <w:rFonts w:ascii="Arial" w:hAnsi="Arial" w:cs="Arial"/>
          <w:b w:val="0"/>
          <w:bCs w:val="0"/>
          <w:caps w:val="0"/>
          <w:kern w:val="0"/>
          <w:u w:color="800000"/>
        </w:rPr>
        <w:instrText>华融</w:instrText>
      </w:r>
      <w:r w:rsidR="006251CD">
        <w:rPr>
          <w:rFonts w:ascii="Arial" w:hAnsi="Arial" w:cs="Arial"/>
          <w:b w:val="0"/>
          <w:bCs w:val="0"/>
          <w:caps w:val="0"/>
          <w:kern w:val="0"/>
          <w:u w:color="800000"/>
        </w:rPr>
        <w:instrText>_</w:instrText>
      </w:r>
      <w:r w:rsidR="006251CD">
        <w:rPr>
          <w:rFonts w:ascii="Arial" w:hAnsi="Arial" w:cs="Arial"/>
          <w:b w:val="0"/>
          <w:bCs w:val="0"/>
          <w:caps w:val="0"/>
          <w:kern w:val="0"/>
          <w:u w:color="800000"/>
        </w:rPr>
        <w:instrText>标题二</w:instrText>
      </w:r>
      <w:r w:rsidR="006251CD">
        <w:rPr>
          <w:rFonts w:ascii="Arial" w:hAnsi="Arial" w:cs="Arial"/>
          <w:b w:val="0"/>
          <w:bCs w:val="0"/>
          <w:caps w:val="0"/>
          <w:kern w:val="0"/>
          <w:u w:color="800000"/>
        </w:rPr>
        <w:instrText>,2,1_[</w:instrText>
      </w:r>
      <w:r w:rsidR="006251CD">
        <w:rPr>
          <w:rFonts w:ascii="Arial" w:hAnsi="Arial" w:cs="Arial"/>
          <w:b w:val="0"/>
          <w:bCs w:val="0"/>
          <w:caps w:val="0"/>
          <w:kern w:val="0"/>
          <w:u w:color="800000"/>
        </w:rPr>
        <w:instrText>一</w:instrText>
      </w:r>
      <w:r w:rsidR="006251CD">
        <w:rPr>
          <w:rFonts w:ascii="Arial" w:hAnsi="Arial" w:cs="Arial"/>
          <w:b w:val="0"/>
          <w:bCs w:val="0"/>
          <w:caps w:val="0"/>
          <w:kern w:val="0"/>
          <w:u w:color="800000"/>
        </w:rPr>
        <w:instrText>]</w:instrText>
      </w:r>
      <w:r w:rsidR="006251CD">
        <w:rPr>
          <w:rFonts w:ascii="Arial" w:hAnsi="Arial" w:cs="Arial"/>
          <w:b w:val="0"/>
          <w:bCs w:val="0"/>
          <w:caps w:val="0"/>
          <w:kern w:val="0"/>
          <w:u w:color="800000"/>
        </w:rPr>
        <w:instrText>、华融</w:instrText>
      </w:r>
      <w:r w:rsidR="006251CD">
        <w:rPr>
          <w:rFonts w:ascii="Arial" w:hAnsi="Arial" w:cs="Arial"/>
          <w:b w:val="0"/>
          <w:bCs w:val="0"/>
          <w:caps w:val="0"/>
          <w:kern w:val="0"/>
          <w:u w:color="800000"/>
        </w:rPr>
        <w:instrText>_</w:instrText>
      </w:r>
      <w:r w:rsidR="006251CD">
        <w:rPr>
          <w:rFonts w:ascii="Arial" w:hAnsi="Arial" w:cs="Arial"/>
          <w:b w:val="0"/>
          <w:bCs w:val="0"/>
          <w:caps w:val="0"/>
          <w:kern w:val="0"/>
          <w:u w:color="800000"/>
        </w:rPr>
        <w:instrText>标题一</w:instrText>
      </w:r>
      <w:r w:rsidR="006251CD">
        <w:rPr>
          <w:rFonts w:ascii="Arial" w:hAnsi="Arial" w:cs="Arial"/>
          <w:b w:val="0"/>
          <w:bCs w:val="0"/>
          <w:caps w:val="0"/>
          <w:kern w:val="0"/>
          <w:u w:color="800000"/>
        </w:rPr>
        <w:instrText>,1,3_[1]</w:instrText>
      </w:r>
      <w:r w:rsidR="006251CD">
        <w:rPr>
          <w:rFonts w:ascii="Arial" w:hAnsi="Arial" w:cs="Arial"/>
          <w:b w:val="0"/>
          <w:bCs w:val="0"/>
          <w:caps w:val="0"/>
          <w:kern w:val="0"/>
          <w:u w:color="800000"/>
        </w:rPr>
        <w:instrText>、华融</w:instrText>
      </w:r>
      <w:r w:rsidR="006251CD">
        <w:rPr>
          <w:rFonts w:ascii="Arial" w:hAnsi="Arial" w:cs="Arial"/>
          <w:b w:val="0"/>
          <w:bCs w:val="0"/>
          <w:caps w:val="0"/>
          <w:kern w:val="0"/>
          <w:u w:color="800000"/>
        </w:rPr>
        <w:instrText>_</w:instrText>
      </w:r>
      <w:r w:rsidR="006251CD">
        <w:rPr>
          <w:rFonts w:ascii="Arial" w:hAnsi="Arial" w:cs="Arial"/>
          <w:b w:val="0"/>
          <w:bCs w:val="0"/>
          <w:caps w:val="0"/>
          <w:kern w:val="0"/>
          <w:u w:color="800000"/>
        </w:rPr>
        <w:instrText>标题三</w:instrText>
      </w:r>
      <w:r w:rsidR="006251CD">
        <w:rPr>
          <w:rFonts w:ascii="Arial" w:hAnsi="Arial" w:cs="Arial"/>
          <w:b w:val="0"/>
          <w:bCs w:val="0"/>
          <w:caps w:val="0"/>
          <w:kern w:val="0"/>
          <w:u w:color="800000"/>
        </w:rPr>
        <w:instrText xml:space="preserve">,3" </w:instrText>
      </w:r>
      <w:r w:rsidRPr="00C0586A">
        <w:rPr>
          <w:rFonts w:ascii="Arial" w:hAnsi="Arial" w:cs="Arial"/>
          <w:b w:val="0"/>
          <w:bCs w:val="0"/>
          <w:caps w:val="0"/>
          <w:kern w:val="0"/>
          <w:u w:color="800000"/>
        </w:rPr>
        <w:fldChar w:fldCharType="separate"/>
      </w:r>
      <w:r w:rsidR="0062504B">
        <w:rPr>
          <w:rFonts w:hint="eastAsia"/>
        </w:rPr>
        <w:t>一、行业动态</w:t>
      </w:r>
      <w:r w:rsidR="0062504B">
        <w:tab/>
      </w:r>
      <w:r w:rsidR="0062504B">
        <w:fldChar w:fldCharType="begin"/>
      </w:r>
      <w:r w:rsidR="0062504B">
        <w:instrText xml:space="preserve"> PAGEREF _Toc401583860 \h </w:instrText>
      </w:r>
      <w:r w:rsidR="0062504B">
        <w:fldChar w:fldCharType="separate"/>
      </w:r>
      <w:r w:rsidR="0062504B">
        <w:t>4</w:t>
      </w:r>
      <w:r w:rsidR="0062504B">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1.</w:t>
      </w:r>
      <w:r>
        <w:rPr>
          <w:rFonts w:asciiTheme="minorHAnsi" w:eastAsiaTheme="minorEastAsia" w:hAnsiTheme="minorHAnsi" w:cstheme="minorBidi"/>
          <w:sz w:val="21"/>
          <w:szCs w:val="22"/>
        </w:rPr>
        <w:tab/>
      </w:r>
      <w:r>
        <w:rPr>
          <w:rFonts w:hint="eastAsia"/>
        </w:rPr>
        <w:t>险资投资优先股规则出台</w:t>
      </w:r>
      <w:r>
        <w:tab/>
      </w:r>
      <w:r>
        <w:fldChar w:fldCharType="begin"/>
      </w:r>
      <w:r>
        <w:instrText xml:space="preserve"> PAGEREF _Toc401583861 \h </w:instrText>
      </w:r>
      <w:r>
        <w:fldChar w:fldCharType="separate"/>
      </w:r>
      <w:r>
        <w:t>4</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2.</w:t>
      </w:r>
      <w:r>
        <w:rPr>
          <w:rFonts w:asciiTheme="minorHAnsi" w:eastAsiaTheme="minorEastAsia" w:hAnsiTheme="minorHAnsi" w:cstheme="minorBidi"/>
          <w:sz w:val="21"/>
          <w:szCs w:val="22"/>
        </w:rPr>
        <w:tab/>
      </w:r>
      <w:r>
        <w:rPr>
          <w:rFonts w:hint="eastAsia"/>
        </w:rPr>
        <w:t>偿二代分类监管制度年底前正式发布</w:t>
      </w:r>
      <w:r>
        <w:tab/>
      </w:r>
      <w:r>
        <w:fldChar w:fldCharType="begin"/>
      </w:r>
      <w:r>
        <w:instrText xml:space="preserve"> PAGEREF _Toc401583862 \h </w:instrText>
      </w:r>
      <w:r>
        <w:fldChar w:fldCharType="separate"/>
      </w:r>
      <w:r>
        <w:t>4</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3.</w:t>
      </w:r>
      <w:r>
        <w:rPr>
          <w:rFonts w:asciiTheme="minorHAnsi" w:eastAsiaTheme="minorEastAsia" w:hAnsiTheme="minorHAnsi" w:cstheme="minorBidi"/>
          <w:sz w:val="21"/>
          <w:szCs w:val="22"/>
        </w:rPr>
        <w:tab/>
      </w:r>
      <w:r>
        <w:rPr>
          <w:rFonts w:hint="eastAsia"/>
        </w:rPr>
        <w:t>流动性监管规则年底前出台</w:t>
      </w:r>
      <w:r>
        <w:tab/>
      </w:r>
      <w:r>
        <w:fldChar w:fldCharType="begin"/>
      </w:r>
      <w:r>
        <w:instrText xml:space="preserve"> PAGEREF _Toc401583863 \h </w:instrText>
      </w:r>
      <w:r>
        <w:fldChar w:fldCharType="separate"/>
      </w:r>
      <w:r>
        <w:t>5</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4.</w:t>
      </w:r>
      <w:r>
        <w:rPr>
          <w:rFonts w:asciiTheme="minorHAnsi" w:eastAsiaTheme="minorEastAsia" w:hAnsiTheme="minorHAnsi" w:cstheme="minorBidi"/>
          <w:sz w:val="21"/>
          <w:szCs w:val="22"/>
        </w:rPr>
        <w:tab/>
      </w:r>
      <w:r>
        <w:rPr>
          <w:rFonts w:hint="eastAsia"/>
        </w:rPr>
        <w:t>我国明确建立巨灾保险制度路线图</w:t>
      </w:r>
      <w:r>
        <w:tab/>
      </w:r>
      <w:r>
        <w:fldChar w:fldCharType="begin"/>
      </w:r>
      <w:r>
        <w:instrText xml:space="preserve"> PAGEREF _Toc401583864 \h </w:instrText>
      </w:r>
      <w:r>
        <w:fldChar w:fldCharType="separate"/>
      </w:r>
      <w:r>
        <w:t>5</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5.</w:t>
      </w:r>
      <w:r>
        <w:rPr>
          <w:rFonts w:asciiTheme="minorHAnsi" w:eastAsiaTheme="minorEastAsia" w:hAnsiTheme="minorHAnsi" w:cstheme="minorBidi"/>
          <w:sz w:val="21"/>
          <w:szCs w:val="22"/>
        </w:rPr>
        <w:tab/>
      </w:r>
      <w:r>
        <w:rPr>
          <w:rFonts w:hint="eastAsia"/>
        </w:rPr>
        <w:t>团险业务：被保险人由</w:t>
      </w:r>
      <w:r>
        <w:t>5</w:t>
      </w:r>
      <w:r>
        <w:rPr>
          <w:rFonts w:hint="eastAsia"/>
        </w:rPr>
        <w:t>人降至</w:t>
      </w:r>
      <w:r>
        <w:t>3</w:t>
      </w:r>
      <w:r>
        <w:rPr>
          <w:rFonts w:hint="eastAsia"/>
        </w:rPr>
        <w:t>人</w:t>
      </w:r>
      <w:r>
        <w:tab/>
      </w:r>
      <w:r>
        <w:fldChar w:fldCharType="begin"/>
      </w:r>
      <w:r>
        <w:instrText xml:space="preserve"> PAGEREF _Toc401583865 \h </w:instrText>
      </w:r>
      <w:r>
        <w:fldChar w:fldCharType="separate"/>
      </w:r>
      <w:r>
        <w:t>6</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6.</w:t>
      </w:r>
      <w:r>
        <w:rPr>
          <w:rFonts w:asciiTheme="minorHAnsi" w:eastAsiaTheme="minorEastAsia" w:hAnsiTheme="minorHAnsi" w:cstheme="minorBidi"/>
          <w:sz w:val="21"/>
          <w:szCs w:val="22"/>
        </w:rPr>
        <w:tab/>
      </w:r>
      <w:r>
        <w:rPr>
          <w:rFonts w:hint="eastAsia"/>
        </w:rPr>
        <w:t>前三季度保费收入增速均超</w:t>
      </w:r>
      <w:r>
        <w:t>20%</w:t>
      </w:r>
      <w:r>
        <w:tab/>
      </w:r>
      <w:r>
        <w:fldChar w:fldCharType="begin"/>
      </w:r>
      <w:r>
        <w:instrText xml:space="preserve"> PAGEREF _Toc401583866 \h </w:instrText>
      </w:r>
      <w:r>
        <w:fldChar w:fldCharType="separate"/>
      </w:r>
      <w:r>
        <w:t>6</w:t>
      </w:r>
      <w:r>
        <w:fldChar w:fldCharType="end"/>
      </w:r>
    </w:p>
    <w:p w:rsidR="0062504B" w:rsidRDefault="0062504B">
      <w:pPr>
        <w:pStyle w:val="10"/>
        <w:rPr>
          <w:rFonts w:asciiTheme="minorHAnsi" w:eastAsiaTheme="minorEastAsia" w:hAnsiTheme="minorHAnsi" w:cstheme="minorBidi"/>
          <w:b w:val="0"/>
          <w:bCs w:val="0"/>
          <w:caps w:val="0"/>
          <w:sz w:val="21"/>
          <w:szCs w:val="22"/>
        </w:rPr>
      </w:pPr>
      <w:r>
        <w:rPr>
          <w:rFonts w:hint="eastAsia"/>
        </w:rPr>
        <w:t>二、行业数据</w:t>
      </w:r>
      <w:r>
        <w:tab/>
      </w:r>
      <w:r>
        <w:fldChar w:fldCharType="begin"/>
      </w:r>
      <w:r>
        <w:instrText xml:space="preserve"> PAGEREF _Toc401583867 \h </w:instrText>
      </w:r>
      <w:r>
        <w:fldChar w:fldCharType="separate"/>
      </w:r>
      <w:r>
        <w:t>7</w:t>
      </w:r>
      <w:r>
        <w:fldChar w:fldCharType="end"/>
      </w:r>
    </w:p>
    <w:p w:rsidR="0062504B" w:rsidRDefault="0062504B">
      <w:pPr>
        <w:pStyle w:val="10"/>
        <w:rPr>
          <w:rFonts w:asciiTheme="minorHAnsi" w:eastAsiaTheme="minorEastAsia" w:hAnsiTheme="minorHAnsi" w:cstheme="minorBidi"/>
          <w:b w:val="0"/>
          <w:bCs w:val="0"/>
          <w:caps w:val="0"/>
          <w:sz w:val="21"/>
          <w:szCs w:val="22"/>
        </w:rPr>
      </w:pPr>
      <w:r>
        <w:rPr>
          <w:rFonts w:hint="eastAsia"/>
        </w:rPr>
        <w:t>三、公司动态</w:t>
      </w:r>
      <w:r>
        <w:tab/>
      </w:r>
      <w:r>
        <w:fldChar w:fldCharType="begin"/>
      </w:r>
      <w:r>
        <w:instrText xml:space="preserve"> PAGEREF _Toc401583868 \h </w:instrText>
      </w:r>
      <w:r>
        <w:fldChar w:fldCharType="separate"/>
      </w:r>
      <w:r>
        <w:t>8</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1.</w:t>
      </w:r>
      <w:r>
        <w:rPr>
          <w:rFonts w:asciiTheme="minorHAnsi" w:eastAsiaTheme="minorEastAsia" w:hAnsiTheme="minorHAnsi" w:cstheme="minorBidi"/>
          <w:sz w:val="21"/>
          <w:szCs w:val="22"/>
        </w:rPr>
        <w:tab/>
      </w:r>
      <w:r>
        <w:rPr>
          <w:rFonts w:hint="eastAsia"/>
        </w:rPr>
        <w:t>四股东转让华泰保险约</w:t>
      </w:r>
      <w:r>
        <w:t>2.5</w:t>
      </w:r>
      <w:r>
        <w:rPr>
          <w:rFonts w:hint="eastAsia"/>
        </w:rPr>
        <w:t>亿股</w:t>
      </w:r>
      <w:r>
        <w:tab/>
      </w:r>
      <w:r>
        <w:fldChar w:fldCharType="begin"/>
      </w:r>
      <w:r>
        <w:instrText xml:space="preserve"> PAGEREF _Toc401583869 \h </w:instrText>
      </w:r>
      <w:r>
        <w:fldChar w:fldCharType="separate"/>
      </w:r>
      <w:r>
        <w:t>8</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2.</w:t>
      </w:r>
      <w:r>
        <w:rPr>
          <w:rFonts w:asciiTheme="minorHAnsi" w:eastAsiaTheme="minorEastAsia" w:hAnsiTheme="minorHAnsi" w:cstheme="minorBidi"/>
          <w:sz w:val="21"/>
          <w:szCs w:val="22"/>
        </w:rPr>
        <w:tab/>
      </w:r>
      <w:r>
        <w:rPr>
          <w:rFonts w:hint="eastAsia"/>
        </w:rPr>
        <w:t>复星国际收购葡萄牙</w:t>
      </w:r>
      <w:r>
        <w:t>ESS</w:t>
      </w:r>
      <w:r>
        <w:tab/>
      </w:r>
      <w:r>
        <w:fldChar w:fldCharType="begin"/>
      </w:r>
      <w:r>
        <w:instrText xml:space="preserve"> PAGEREF _Toc401583870 \h </w:instrText>
      </w:r>
      <w:r>
        <w:fldChar w:fldCharType="separate"/>
      </w:r>
      <w:r>
        <w:t>8</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3.</w:t>
      </w:r>
      <w:r>
        <w:rPr>
          <w:rFonts w:asciiTheme="minorHAnsi" w:eastAsiaTheme="minorEastAsia" w:hAnsiTheme="minorHAnsi" w:cstheme="minorBidi"/>
          <w:sz w:val="21"/>
          <w:szCs w:val="22"/>
        </w:rPr>
        <w:tab/>
      </w:r>
      <w:r>
        <w:rPr>
          <w:rFonts w:hint="eastAsia"/>
        </w:rPr>
        <w:t>安邦收购比利时保险公司</w:t>
      </w:r>
      <w:r>
        <w:t>FIDEA</w:t>
      </w:r>
      <w:r>
        <w:tab/>
      </w:r>
      <w:r>
        <w:fldChar w:fldCharType="begin"/>
      </w:r>
      <w:r>
        <w:instrText xml:space="preserve"> PAGEREF _Toc401583871 \h </w:instrText>
      </w:r>
      <w:r>
        <w:fldChar w:fldCharType="separate"/>
      </w:r>
      <w:r>
        <w:t>8</w:t>
      </w:r>
      <w:r>
        <w:fldChar w:fldCharType="end"/>
      </w:r>
    </w:p>
    <w:p w:rsidR="0062504B" w:rsidRDefault="0062504B" w:rsidP="00FC4579">
      <w:pPr>
        <w:pStyle w:val="20"/>
        <w:tabs>
          <w:tab w:val="left" w:pos="1260"/>
        </w:tabs>
        <w:ind w:left="420"/>
        <w:rPr>
          <w:rFonts w:asciiTheme="minorHAnsi" w:eastAsiaTheme="minorEastAsia" w:hAnsiTheme="minorHAnsi" w:cstheme="minorBidi"/>
          <w:sz w:val="21"/>
          <w:szCs w:val="22"/>
        </w:rPr>
      </w:pPr>
      <w:r>
        <w:t>4.</w:t>
      </w:r>
      <w:r>
        <w:rPr>
          <w:rFonts w:asciiTheme="minorHAnsi" w:eastAsiaTheme="minorEastAsia" w:hAnsiTheme="minorHAnsi" w:cstheme="minorBidi"/>
          <w:sz w:val="21"/>
          <w:szCs w:val="22"/>
        </w:rPr>
        <w:tab/>
      </w:r>
      <w:r>
        <w:rPr>
          <w:rFonts w:hint="eastAsia"/>
        </w:rPr>
        <w:t>太保首批养老产业策略</w:t>
      </w:r>
      <w:r>
        <w:tab/>
      </w:r>
      <w:r>
        <w:fldChar w:fldCharType="begin"/>
      </w:r>
      <w:r>
        <w:instrText xml:space="preserve"> PAGEREF _Toc401583872 \h </w:instrText>
      </w:r>
      <w:r>
        <w:fldChar w:fldCharType="separate"/>
      </w:r>
      <w:r>
        <w:t>9</w:t>
      </w:r>
      <w:r>
        <w:fldChar w:fldCharType="end"/>
      </w:r>
    </w:p>
    <w:p w:rsidR="0062504B" w:rsidRDefault="0062504B">
      <w:pPr>
        <w:pStyle w:val="10"/>
        <w:rPr>
          <w:rFonts w:asciiTheme="minorHAnsi" w:eastAsiaTheme="minorEastAsia" w:hAnsiTheme="minorHAnsi" w:cstheme="minorBidi"/>
          <w:b w:val="0"/>
          <w:bCs w:val="0"/>
          <w:caps w:val="0"/>
          <w:sz w:val="21"/>
          <w:szCs w:val="22"/>
        </w:rPr>
      </w:pPr>
      <w:r>
        <w:rPr>
          <w:rFonts w:hint="eastAsia"/>
        </w:rPr>
        <w:t>四、公司数据</w:t>
      </w:r>
      <w:r>
        <w:tab/>
      </w:r>
      <w:r>
        <w:fldChar w:fldCharType="begin"/>
      </w:r>
      <w:r>
        <w:instrText xml:space="preserve"> PAGEREF _Toc401583873 \h </w:instrText>
      </w:r>
      <w:r>
        <w:fldChar w:fldCharType="separate"/>
      </w:r>
      <w:r>
        <w:t>10</w:t>
      </w:r>
      <w:r>
        <w:fldChar w:fldCharType="end"/>
      </w:r>
    </w:p>
    <w:p w:rsidR="0062504B" w:rsidRDefault="0062504B">
      <w:pPr>
        <w:pStyle w:val="10"/>
        <w:rPr>
          <w:rFonts w:asciiTheme="minorHAnsi" w:eastAsiaTheme="minorEastAsia" w:hAnsiTheme="minorHAnsi" w:cstheme="minorBidi"/>
          <w:b w:val="0"/>
          <w:bCs w:val="0"/>
          <w:caps w:val="0"/>
          <w:sz w:val="21"/>
          <w:szCs w:val="22"/>
        </w:rPr>
      </w:pPr>
      <w:r>
        <w:rPr>
          <w:rFonts w:hint="eastAsia"/>
        </w:rPr>
        <w:t>五、行情回顾</w:t>
      </w:r>
      <w:r>
        <w:tab/>
      </w:r>
      <w:r>
        <w:fldChar w:fldCharType="begin"/>
      </w:r>
      <w:r>
        <w:instrText xml:space="preserve"> PAGEREF _Toc401583874 \h </w:instrText>
      </w:r>
      <w:r>
        <w:fldChar w:fldCharType="separate"/>
      </w:r>
      <w:r>
        <w:t>11</w:t>
      </w:r>
      <w:r>
        <w:fldChar w:fldCharType="end"/>
      </w:r>
    </w:p>
    <w:p w:rsidR="0062504B" w:rsidRDefault="0062504B">
      <w:pPr>
        <w:pStyle w:val="10"/>
        <w:rPr>
          <w:rFonts w:asciiTheme="minorHAnsi" w:eastAsiaTheme="minorEastAsia" w:hAnsiTheme="minorHAnsi" w:cstheme="minorBidi"/>
          <w:b w:val="0"/>
          <w:bCs w:val="0"/>
          <w:caps w:val="0"/>
          <w:sz w:val="21"/>
          <w:szCs w:val="22"/>
        </w:rPr>
      </w:pPr>
      <w:r>
        <w:rPr>
          <w:rFonts w:hint="eastAsia"/>
        </w:rPr>
        <w:t>六、投资建议</w:t>
      </w:r>
      <w:r>
        <w:tab/>
      </w:r>
      <w:r>
        <w:fldChar w:fldCharType="begin"/>
      </w:r>
      <w:r>
        <w:instrText xml:space="preserve"> PAGEREF _Toc401583875 \h </w:instrText>
      </w:r>
      <w:r>
        <w:fldChar w:fldCharType="separate"/>
      </w:r>
      <w:r>
        <w:t>12</w:t>
      </w:r>
      <w:r>
        <w:fldChar w:fldCharType="end"/>
      </w:r>
    </w:p>
    <w:p w:rsidR="0062504B" w:rsidRDefault="0062504B">
      <w:pPr>
        <w:pStyle w:val="10"/>
        <w:rPr>
          <w:rFonts w:asciiTheme="minorHAnsi" w:eastAsiaTheme="minorEastAsia" w:hAnsiTheme="minorHAnsi" w:cstheme="minorBidi"/>
          <w:b w:val="0"/>
          <w:bCs w:val="0"/>
          <w:caps w:val="0"/>
          <w:sz w:val="21"/>
          <w:szCs w:val="22"/>
        </w:rPr>
      </w:pPr>
      <w:r>
        <w:rPr>
          <w:rFonts w:hint="eastAsia"/>
        </w:rPr>
        <w:t>七、风险提示</w:t>
      </w:r>
      <w:r>
        <w:tab/>
      </w:r>
      <w:r>
        <w:fldChar w:fldCharType="begin"/>
      </w:r>
      <w:r>
        <w:instrText xml:space="preserve"> PAGEREF _Toc401583876 \h </w:instrText>
      </w:r>
      <w:r>
        <w:fldChar w:fldCharType="separate"/>
      </w:r>
      <w:r>
        <w:t>12</w:t>
      </w:r>
      <w:r>
        <w:fldChar w:fldCharType="end"/>
      </w:r>
    </w:p>
    <w:p w:rsidR="008E652B" w:rsidRPr="008E652B" w:rsidRDefault="00C0586A" w:rsidP="00235691">
      <w:pPr>
        <w:pBdr>
          <w:bottom w:val="single" w:sz="8" w:space="1" w:color="981B20"/>
        </w:pBdr>
        <w:jc w:val="center"/>
        <w:rPr>
          <w:rFonts w:ascii="楷体_GB2312" w:eastAsia="楷体_GB2312"/>
          <w:b/>
          <w:color w:val="981B20"/>
          <w:sz w:val="24"/>
        </w:rPr>
      </w:pPr>
      <w:r>
        <w:rPr>
          <w:rFonts w:ascii="Arial" w:eastAsia="楷体_GB2312" w:hAnsi="Arial" w:cs="Arial"/>
          <w:b/>
          <w:bCs/>
          <w:caps/>
          <w:noProof/>
          <w:kern w:val="0"/>
          <w:sz w:val="20"/>
          <w:szCs w:val="20"/>
          <w:u w:color="800000"/>
        </w:rPr>
        <w:fldChar w:fldCharType="end"/>
      </w:r>
      <w:r w:rsidR="00834245" w:rsidRPr="008651E0">
        <w:rPr>
          <w:rFonts w:hint="eastAsia"/>
        </w:rPr>
        <w:br w:type="page"/>
      </w:r>
      <w:r w:rsidR="00CD431F">
        <w:rPr>
          <w:rFonts w:ascii="楷体_GB2312" w:eastAsia="楷体_GB2312" w:hint="eastAsia"/>
          <w:b/>
          <w:color w:val="981B20"/>
          <w:sz w:val="24"/>
        </w:rPr>
        <w:lastRenderedPageBreak/>
        <w:t>图表目录</w:t>
      </w:r>
      <w:r w:rsidRPr="00C0586A">
        <w:rPr>
          <w:rFonts w:ascii="楷体_GB2312" w:hint="eastAsia"/>
          <w:b/>
          <w:color w:val="981B20"/>
        </w:rPr>
        <w:fldChar w:fldCharType="begin"/>
      </w:r>
      <w:r w:rsidR="00CD431F" w:rsidRPr="00F67616">
        <w:rPr>
          <w:rFonts w:ascii="楷体_GB2312" w:hint="eastAsia"/>
          <w:b/>
          <w:color w:val="981B20"/>
        </w:rPr>
        <w:instrText xml:space="preserve"> TOC \z \t "6_</w:instrText>
      </w:r>
      <w:r w:rsidR="00CD431F" w:rsidRPr="00F67616">
        <w:rPr>
          <w:rFonts w:ascii="楷体_GB2312" w:hint="eastAsia"/>
          <w:b/>
          <w:color w:val="981B20"/>
        </w:rPr>
        <w:instrText>华融图表标题</w:instrText>
      </w:r>
      <w:r w:rsidR="00CD431F" w:rsidRPr="00F67616">
        <w:rPr>
          <w:rFonts w:ascii="楷体_GB2312" w:hint="eastAsia"/>
          <w:b/>
          <w:color w:val="981B20"/>
        </w:rPr>
        <w:instrText xml:space="preserve">" \c </w:instrText>
      </w:r>
      <w:r w:rsidRPr="00C0586A">
        <w:rPr>
          <w:rFonts w:ascii="楷体_GB2312" w:hint="eastAsia"/>
          <w:b/>
          <w:color w:val="981B20"/>
        </w:rPr>
        <w:fldChar w:fldCharType="end"/>
      </w:r>
      <w:r w:rsidRPr="00C0586A">
        <w:rPr>
          <w:rFonts w:ascii="楷体_GB2312"/>
          <w:b/>
          <w:color w:val="981B20"/>
          <w:sz w:val="20"/>
        </w:rPr>
        <w:fldChar w:fldCharType="begin"/>
      </w:r>
      <w:r w:rsidR="008E652B">
        <w:rPr>
          <w:rFonts w:ascii="楷体_GB2312"/>
          <w:b/>
          <w:color w:val="981B20"/>
          <w:sz w:val="20"/>
        </w:rPr>
        <w:instrText xml:space="preserve"> </w:instrText>
      </w:r>
      <w:r w:rsidR="008E652B">
        <w:rPr>
          <w:rFonts w:ascii="楷体_GB2312" w:hint="eastAsia"/>
          <w:b/>
          <w:color w:val="981B20"/>
          <w:sz w:val="20"/>
        </w:rPr>
        <w:instrText>TOC \h \z \c "</w:instrText>
      </w:r>
      <w:r w:rsidR="008E652B">
        <w:rPr>
          <w:rFonts w:ascii="楷体_GB2312" w:hint="eastAsia"/>
          <w:b/>
          <w:color w:val="981B20"/>
          <w:sz w:val="20"/>
        </w:rPr>
        <w:instrText>图表</w:instrText>
      </w:r>
      <w:r w:rsidR="008E652B">
        <w:rPr>
          <w:rFonts w:ascii="楷体_GB2312" w:hint="eastAsia"/>
          <w:b/>
          <w:color w:val="981B20"/>
          <w:sz w:val="20"/>
        </w:rPr>
        <w:instrText>"</w:instrText>
      </w:r>
      <w:r w:rsidR="008E652B">
        <w:rPr>
          <w:rFonts w:ascii="楷体_GB2312"/>
          <w:b/>
          <w:color w:val="981B20"/>
          <w:sz w:val="20"/>
        </w:rPr>
        <w:instrText xml:space="preserve"> </w:instrText>
      </w:r>
      <w:r w:rsidRPr="00C0586A">
        <w:rPr>
          <w:rFonts w:ascii="楷体_GB2312"/>
          <w:b/>
          <w:color w:val="981B20"/>
          <w:sz w:val="20"/>
        </w:rPr>
        <w:fldChar w:fldCharType="separate"/>
      </w:r>
    </w:p>
    <w:p w:rsidR="00644165" w:rsidRDefault="00C0586A" w:rsidP="00F37CBA">
      <w:pPr>
        <w:pStyle w:val="50"/>
        <w:spacing w:afterLines="0" w:line="20" w:lineRule="exact"/>
        <w:ind w:right="2730" w:firstLine="440"/>
        <w:rPr>
          <w:noProof/>
        </w:rPr>
      </w:pPr>
      <w:r>
        <w:fldChar w:fldCharType="end"/>
      </w:r>
      <w:bookmarkStart w:id="2" w:name="_Toc265761341"/>
      <w:r w:rsidRPr="00C0586A">
        <w:fldChar w:fldCharType="begin"/>
      </w:r>
      <w:r w:rsidR="00575CF9">
        <w:instrText xml:space="preserve"> TOC \f \t "6_</w:instrText>
      </w:r>
      <w:r w:rsidR="00575CF9">
        <w:instrText>华融图表标题</w:instrText>
      </w:r>
      <w:r w:rsidR="00575CF9">
        <w:instrText xml:space="preserve">,1" </w:instrText>
      </w:r>
      <w:r w:rsidRPr="00C0586A">
        <w:fldChar w:fldCharType="separate"/>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1</w:t>
      </w:r>
      <w:r w:rsidRPr="005C0385">
        <w:rPr>
          <w:rFonts w:ascii="楷体_GB2312" w:hint="eastAsia"/>
        </w:rPr>
        <w:t>：保费与营业费用同比增速</w:t>
      </w:r>
      <w:r>
        <w:tab/>
      </w:r>
      <w:r>
        <w:fldChar w:fldCharType="begin"/>
      </w:r>
      <w:r>
        <w:instrText xml:space="preserve"> PAGEREF _Toc401583880 \h </w:instrText>
      </w:r>
      <w:r>
        <w:fldChar w:fldCharType="separate"/>
      </w:r>
      <w:r>
        <w:t>7</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2</w:t>
      </w:r>
      <w:r w:rsidRPr="005C0385">
        <w:rPr>
          <w:rFonts w:ascii="楷体_GB2312" w:hint="eastAsia"/>
        </w:rPr>
        <w:t>：</w:t>
      </w:r>
      <w:r w:rsidRPr="005C0385">
        <w:rPr>
          <w:rFonts w:ascii="楷体_GB2312"/>
        </w:rPr>
        <w:t>2014</w:t>
      </w:r>
      <w:r w:rsidRPr="005C0385">
        <w:rPr>
          <w:rFonts w:ascii="楷体_GB2312" w:hint="eastAsia"/>
        </w:rPr>
        <w:t>年</w:t>
      </w:r>
      <w:r w:rsidRPr="005C0385">
        <w:rPr>
          <w:rFonts w:ascii="楷体_GB2312"/>
        </w:rPr>
        <w:t>8</w:t>
      </w:r>
      <w:r w:rsidRPr="005C0385">
        <w:rPr>
          <w:rFonts w:ascii="楷体_GB2312" w:hint="eastAsia"/>
        </w:rPr>
        <w:t>月各险种保费同比增速</w:t>
      </w:r>
      <w:r>
        <w:tab/>
      </w:r>
      <w:r>
        <w:fldChar w:fldCharType="begin"/>
      </w:r>
      <w:r>
        <w:instrText xml:space="preserve"> PAGEREF _Toc401583881 \h </w:instrText>
      </w:r>
      <w:r>
        <w:fldChar w:fldCharType="separate"/>
      </w:r>
      <w:r>
        <w:t>7</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3</w:t>
      </w:r>
      <w:r w:rsidRPr="005C0385">
        <w:rPr>
          <w:rFonts w:ascii="楷体_GB2312" w:hint="eastAsia"/>
        </w:rPr>
        <w:t>：债券占险资运用余额比（月）</w:t>
      </w:r>
      <w:r>
        <w:tab/>
      </w:r>
      <w:r>
        <w:fldChar w:fldCharType="begin"/>
      </w:r>
      <w:r>
        <w:instrText xml:space="preserve"> PAGEREF _Toc401583882 \h </w:instrText>
      </w:r>
      <w:r>
        <w:fldChar w:fldCharType="separate"/>
      </w:r>
      <w:r>
        <w:t>7</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4</w:t>
      </w:r>
      <w:r w:rsidRPr="005C0385">
        <w:rPr>
          <w:rFonts w:ascii="楷体_GB2312" w:hint="eastAsia"/>
        </w:rPr>
        <w:t>：中证</w:t>
      </w:r>
      <w:r w:rsidRPr="005C0385">
        <w:rPr>
          <w:rFonts w:ascii="楷体_GB2312"/>
        </w:rPr>
        <w:t>10</w:t>
      </w:r>
      <w:r w:rsidRPr="005C0385">
        <w:rPr>
          <w:rFonts w:ascii="楷体_GB2312" w:hint="eastAsia"/>
        </w:rPr>
        <w:t>债累计涨跌幅（周，</w:t>
      </w:r>
      <w:r w:rsidRPr="005C0385">
        <w:rPr>
          <w:rFonts w:ascii="楷体_GB2312"/>
        </w:rPr>
        <w:t>%</w:t>
      </w:r>
      <w:r w:rsidRPr="005C0385">
        <w:rPr>
          <w:rFonts w:ascii="楷体_GB2312" w:hint="eastAsia"/>
        </w:rPr>
        <w:t>）</w:t>
      </w:r>
      <w:r>
        <w:tab/>
      </w:r>
      <w:r>
        <w:fldChar w:fldCharType="begin"/>
      </w:r>
      <w:r>
        <w:instrText xml:space="preserve"> PAGEREF _Toc401583883 \h </w:instrText>
      </w:r>
      <w:r>
        <w:fldChar w:fldCharType="separate"/>
      </w:r>
      <w:r>
        <w:t>7</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5</w:t>
      </w:r>
      <w:r w:rsidRPr="005C0385">
        <w:rPr>
          <w:rFonts w:ascii="楷体_GB2312" w:hint="eastAsia"/>
        </w:rPr>
        <w:t>：中国人寿单月保费同比增速</w:t>
      </w:r>
      <w:r>
        <w:tab/>
      </w:r>
      <w:r>
        <w:fldChar w:fldCharType="begin"/>
      </w:r>
      <w:r>
        <w:instrText xml:space="preserve"> PAGEREF _Toc401583884 \h </w:instrText>
      </w:r>
      <w:r>
        <w:fldChar w:fldCharType="separate"/>
      </w:r>
      <w:r>
        <w:t>10</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6</w:t>
      </w:r>
      <w:r w:rsidRPr="005C0385">
        <w:rPr>
          <w:rFonts w:ascii="楷体_GB2312" w:hint="eastAsia"/>
        </w:rPr>
        <w:t>：平安人寿单月保费同比增速</w:t>
      </w:r>
      <w:r>
        <w:tab/>
      </w:r>
      <w:r>
        <w:fldChar w:fldCharType="begin"/>
      </w:r>
      <w:r>
        <w:instrText xml:space="preserve"> PAGEREF _Toc401583885 \h </w:instrText>
      </w:r>
      <w:r>
        <w:fldChar w:fldCharType="separate"/>
      </w:r>
      <w:r>
        <w:t>10</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7</w:t>
      </w:r>
      <w:r w:rsidRPr="005C0385">
        <w:rPr>
          <w:rFonts w:ascii="楷体_GB2312" w:hint="eastAsia"/>
        </w:rPr>
        <w:t>：太保人寿单月保费同比增速</w:t>
      </w:r>
      <w:r>
        <w:tab/>
      </w:r>
      <w:r>
        <w:fldChar w:fldCharType="begin"/>
      </w:r>
      <w:r>
        <w:instrText xml:space="preserve"> PAGEREF _Toc401583886 \h </w:instrText>
      </w:r>
      <w:r>
        <w:fldChar w:fldCharType="separate"/>
      </w:r>
      <w:r>
        <w:t>10</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8</w:t>
      </w:r>
      <w:r w:rsidRPr="005C0385">
        <w:rPr>
          <w:rFonts w:ascii="楷体_GB2312" w:hint="eastAsia"/>
        </w:rPr>
        <w:t>：新华人寿单月保费同比增速</w:t>
      </w:r>
      <w:r>
        <w:tab/>
      </w:r>
      <w:r>
        <w:fldChar w:fldCharType="begin"/>
      </w:r>
      <w:r>
        <w:instrText xml:space="preserve"> PAGEREF _Toc401583887 \h </w:instrText>
      </w:r>
      <w:r>
        <w:fldChar w:fldCharType="separate"/>
      </w:r>
      <w:r>
        <w:t>10</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9</w:t>
      </w:r>
      <w:r w:rsidRPr="005C0385">
        <w:rPr>
          <w:rFonts w:ascii="楷体_GB2312" w:hint="eastAsia"/>
        </w:rPr>
        <w:t>：保险指数超额收益走势图（周）</w:t>
      </w:r>
      <w:r>
        <w:tab/>
      </w:r>
      <w:r>
        <w:fldChar w:fldCharType="begin"/>
      </w:r>
      <w:r>
        <w:instrText xml:space="preserve"> PAGEREF _Toc401583888 \h </w:instrText>
      </w:r>
      <w:r>
        <w:fldChar w:fldCharType="separate"/>
      </w:r>
      <w:r>
        <w:t>11</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10</w:t>
      </w:r>
      <w:r w:rsidRPr="005C0385">
        <w:rPr>
          <w:rFonts w:ascii="楷体_GB2312" w:hint="eastAsia"/>
        </w:rPr>
        <w:t>：金融子行业</w:t>
      </w:r>
      <w:r w:rsidRPr="005C0385">
        <w:rPr>
          <w:rFonts w:ascii="楷体_GB2312"/>
        </w:rPr>
        <w:t>2014</w:t>
      </w:r>
      <w:r w:rsidRPr="005C0385">
        <w:rPr>
          <w:rFonts w:ascii="楷体_GB2312" w:hint="eastAsia"/>
        </w:rPr>
        <w:t>年涨跌幅（月）</w:t>
      </w:r>
      <w:r>
        <w:tab/>
      </w:r>
      <w:r>
        <w:fldChar w:fldCharType="begin"/>
      </w:r>
      <w:r>
        <w:instrText xml:space="preserve"> PAGEREF _Toc401583889 \h </w:instrText>
      </w:r>
      <w:r>
        <w:fldChar w:fldCharType="separate"/>
      </w:r>
      <w:r>
        <w:t>11</w:t>
      </w:r>
      <w:r>
        <w:fldChar w:fldCharType="end"/>
      </w:r>
    </w:p>
    <w:p w:rsidR="00644165" w:rsidRDefault="00644165">
      <w:pPr>
        <w:pStyle w:val="10"/>
        <w:rPr>
          <w:rFonts w:asciiTheme="minorHAnsi" w:eastAsiaTheme="minorEastAsia" w:hAnsiTheme="minorHAnsi" w:cstheme="minorBidi"/>
          <w:b w:val="0"/>
          <w:bCs w:val="0"/>
          <w:caps w:val="0"/>
          <w:sz w:val="21"/>
          <w:szCs w:val="22"/>
        </w:rPr>
      </w:pPr>
      <w:r w:rsidRPr="005C0385">
        <w:rPr>
          <w:rFonts w:ascii="楷体_GB2312" w:hint="eastAsia"/>
        </w:rPr>
        <w:t>图表</w:t>
      </w:r>
      <w:r w:rsidRPr="005C0385">
        <w:rPr>
          <w:rFonts w:ascii="楷体_GB2312"/>
        </w:rPr>
        <w:t xml:space="preserve"> 11 </w:t>
      </w:r>
      <w:r w:rsidRPr="005C0385">
        <w:rPr>
          <w:rFonts w:ascii="楷体_GB2312" w:hint="eastAsia"/>
        </w:rPr>
        <w:t>上市公司相对保险指数获得超额收益（周，</w:t>
      </w:r>
      <w:r w:rsidRPr="005C0385">
        <w:rPr>
          <w:rFonts w:ascii="楷体_GB2312"/>
        </w:rPr>
        <w:t>%</w:t>
      </w:r>
      <w:r w:rsidRPr="005C0385">
        <w:rPr>
          <w:rFonts w:ascii="楷体_GB2312" w:hint="eastAsia"/>
        </w:rPr>
        <w:t>）</w:t>
      </w:r>
      <w:r>
        <w:tab/>
      </w:r>
      <w:r>
        <w:fldChar w:fldCharType="begin"/>
      </w:r>
      <w:r>
        <w:instrText xml:space="preserve"> PAGEREF _Toc401583890 \h </w:instrText>
      </w:r>
      <w:r>
        <w:fldChar w:fldCharType="separate"/>
      </w:r>
      <w:r>
        <w:t>11</w:t>
      </w:r>
      <w:r>
        <w:fldChar w:fldCharType="end"/>
      </w:r>
    </w:p>
    <w:p w:rsidR="000632C0" w:rsidRPr="005E17B2" w:rsidRDefault="00C0586A" w:rsidP="00785A2B">
      <w:pPr>
        <w:pStyle w:val="11"/>
        <w:spacing w:after="312"/>
      </w:pPr>
      <w:r>
        <w:rPr>
          <w:rFonts w:ascii="楷体_GB2312"/>
          <w:sz w:val="20"/>
        </w:rPr>
        <w:fldChar w:fldCharType="end"/>
      </w:r>
      <w:bookmarkStart w:id="3" w:name="_Toc343690764"/>
      <w:bookmarkEnd w:id="2"/>
      <w:r w:rsidR="00DE715A">
        <w:br w:type="page"/>
      </w:r>
      <w:bookmarkStart w:id="4" w:name="_Toc392054529"/>
      <w:bookmarkStart w:id="5" w:name="_Toc397434606"/>
      <w:bookmarkStart w:id="6" w:name="_Toc398648819"/>
      <w:bookmarkStart w:id="7" w:name="_Toc290416111"/>
      <w:bookmarkStart w:id="8" w:name="_Toc296889649"/>
      <w:bookmarkStart w:id="9" w:name="_Toc296889705"/>
      <w:bookmarkStart w:id="10" w:name="_Toc296890672"/>
      <w:bookmarkStart w:id="11" w:name="_Toc401583860"/>
      <w:bookmarkEnd w:id="3"/>
      <w:r w:rsidR="000632C0" w:rsidRPr="005E17B2">
        <w:rPr>
          <w:rFonts w:hint="eastAsia"/>
        </w:rPr>
        <w:lastRenderedPageBreak/>
        <w:t>一、</w:t>
      </w:r>
      <w:bookmarkEnd w:id="4"/>
      <w:bookmarkEnd w:id="5"/>
      <w:bookmarkEnd w:id="6"/>
      <w:r w:rsidR="00722CB1">
        <w:rPr>
          <w:rFonts w:hint="eastAsia"/>
        </w:rPr>
        <w:t>行业动态</w:t>
      </w:r>
      <w:bookmarkEnd w:id="11"/>
    </w:p>
    <w:p w:rsidR="0002040C" w:rsidRPr="0002040C" w:rsidRDefault="0002040C" w:rsidP="0002040C">
      <w:pPr>
        <w:pStyle w:val="21"/>
        <w:numPr>
          <w:ilvl w:val="0"/>
          <w:numId w:val="8"/>
        </w:numPr>
        <w:spacing w:after="312"/>
        <w:rPr>
          <w:rFonts w:hint="eastAsia"/>
        </w:rPr>
      </w:pPr>
      <w:bookmarkStart w:id="12" w:name="_Toc401583861"/>
      <w:r w:rsidRPr="0002040C">
        <w:rPr>
          <w:rFonts w:hint="eastAsia"/>
        </w:rPr>
        <w:t>险资投资优先股规则出台</w:t>
      </w:r>
      <w:bookmarkEnd w:id="12"/>
    </w:p>
    <w:p w:rsidR="0002040C" w:rsidRPr="00282844" w:rsidRDefault="0002040C" w:rsidP="0002040C">
      <w:pPr>
        <w:pStyle w:val="50"/>
        <w:spacing w:after="312" w:line="320" w:lineRule="exact"/>
        <w:ind w:right="2730" w:firstLine="440"/>
      </w:pPr>
      <w:r w:rsidRPr="00282844">
        <w:t>保监会</w:t>
      </w:r>
      <w:r>
        <w:rPr>
          <w:rFonts w:hint="eastAsia"/>
        </w:rPr>
        <w:t>10</w:t>
      </w:r>
      <w:r>
        <w:rPr>
          <w:rFonts w:hint="eastAsia"/>
        </w:rPr>
        <w:t>月</w:t>
      </w:r>
      <w:r>
        <w:rPr>
          <w:rFonts w:hint="eastAsia"/>
        </w:rPr>
        <w:t>17</w:t>
      </w:r>
      <w:r>
        <w:rPr>
          <w:rFonts w:hint="eastAsia"/>
        </w:rPr>
        <w:t>日</w:t>
      </w:r>
      <w:r w:rsidRPr="00282844">
        <w:t>印发了《关于保险资金投资优先股有关事项的通知》（以下简称《通知》）。《通知》结合我国当前市场优先股的风险特征，明确了保险资金投资优先股的各项内容，主要包括：</w:t>
      </w:r>
      <w:r w:rsidRPr="0002040C">
        <w:t>一是</w:t>
      </w:r>
      <w:r w:rsidRPr="00282844">
        <w:t>明确优先股的资产分类。要求保险机构按照发行方对优先股权益融资工具或者债务融资工具的分类，分别确认为权益类或者固定收益类资产，充分反映当前拟发行优先股的权益属性。</w:t>
      </w:r>
      <w:r w:rsidRPr="0002040C">
        <w:t>二是</w:t>
      </w:r>
      <w:r w:rsidRPr="00282844">
        <w:t>创新提出信用评估要求。借鉴发达国家和地区做法，要求保险资金投资的优先股，应当具有</w:t>
      </w:r>
      <w:r w:rsidRPr="00282844">
        <w:t>A</w:t>
      </w:r>
      <w:r w:rsidRPr="00282844">
        <w:t>级或者相当于</w:t>
      </w:r>
      <w:r w:rsidRPr="00282844">
        <w:t>A</w:t>
      </w:r>
      <w:r w:rsidRPr="00282844">
        <w:t>级的长期信用等级，并逐步建立企业和行业内部的优先股信用评估机制。</w:t>
      </w:r>
      <w:r w:rsidRPr="0002040C">
        <w:t>三是</w:t>
      </w:r>
      <w:r w:rsidRPr="00282844">
        <w:t>坚持市场化原则。不再新增保险资金投资优先股的有关要求，具备相应投资管理能力的保险机构都可以投资符合条件的优先股。</w:t>
      </w:r>
      <w:r w:rsidRPr="0002040C">
        <w:t>四是</w:t>
      </w:r>
      <w:r w:rsidRPr="00282844">
        <w:t>加强事中和事后监管。通过确定和调整资产认可标准、强化非现场监测等手段，加强风险监管，防范投资风险。</w:t>
      </w:r>
      <w:r w:rsidRPr="0002040C">
        <w:t>五是</w:t>
      </w:r>
      <w:r w:rsidRPr="00282844">
        <w:t>明确影响投资的相关事项。如根据行业要求，明确优先股资产的估值问题，在市场交易不活跃且其公允价值无法可靠计量的情况下，可以按照投资成本估值。</w:t>
      </w:r>
    </w:p>
    <w:p w:rsidR="0002040C" w:rsidRDefault="0002040C" w:rsidP="0002040C">
      <w:pPr>
        <w:pStyle w:val="50"/>
        <w:spacing w:after="312" w:line="320" w:lineRule="exact"/>
        <w:ind w:right="2730" w:firstLine="440"/>
        <w:rPr>
          <w:rFonts w:hint="eastAsia"/>
        </w:rPr>
      </w:pPr>
      <w:r w:rsidRPr="00282844">
        <w:t>《通知》是贯彻落实《国务院关于加快发展现代保险服务业的若干意见》的重要举措。一是有利于支持保险资金发挥长期投资的独特优势，开展资本性、长期性和稳定性投资，优化资产配置结构。二是有利于进一步发挥保险公司的机构投资者作用，促进保险市场与资本市场协调发展，降低金融及实体经济领域潜在风险。三是有利于将国务院关于开展优先股试点的政策意见落到实处，促进更多的保险资金投资实体经济，缓解融资难融资贵等问题，支持经济转型提质增效。四是有利于践行</w:t>
      </w:r>
      <w:r w:rsidRPr="00282844">
        <w:t>“</w:t>
      </w:r>
      <w:r w:rsidRPr="00282844">
        <w:t>放开前端、管住后端</w:t>
      </w:r>
      <w:r w:rsidRPr="00282844">
        <w:t>”</w:t>
      </w:r>
      <w:r w:rsidRPr="00282844">
        <w:t>的保险监管思路，既进一步拓宽了保险机构自主配置的空间，又通过市场化、信息化等监管手段，守住不发生系统性风险底线，确保市场稳健运行。</w:t>
      </w:r>
    </w:p>
    <w:p w:rsidR="0002040C" w:rsidRPr="0002040C" w:rsidRDefault="0002040C" w:rsidP="0002040C">
      <w:pPr>
        <w:pStyle w:val="21"/>
        <w:numPr>
          <w:ilvl w:val="0"/>
          <w:numId w:val="8"/>
        </w:numPr>
        <w:spacing w:after="312"/>
      </w:pPr>
      <w:bookmarkStart w:id="13" w:name="_Toc401583862"/>
      <w:r w:rsidRPr="0002040C">
        <w:rPr>
          <w:rFonts w:hint="eastAsia"/>
        </w:rPr>
        <w:t>偿二代分类</w:t>
      </w:r>
      <w:r>
        <w:rPr>
          <w:rFonts w:hint="eastAsia"/>
        </w:rPr>
        <w:t>监管制度</w:t>
      </w:r>
      <w:r w:rsidRPr="0002040C">
        <w:rPr>
          <w:rFonts w:hint="eastAsia"/>
        </w:rPr>
        <w:t>年底前正式发布</w:t>
      </w:r>
      <w:bookmarkEnd w:id="13"/>
    </w:p>
    <w:p w:rsidR="0002040C" w:rsidRPr="0002040C" w:rsidRDefault="0002040C" w:rsidP="0002040C">
      <w:pPr>
        <w:pStyle w:val="50"/>
        <w:spacing w:after="312" w:line="320" w:lineRule="exact"/>
        <w:ind w:right="2730" w:firstLine="440"/>
        <w:rPr>
          <w:lang w:val="en-CA"/>
        </w:rPr>
      </w:pPr>
      <w:r w:rsidRPr="0002040C">
        <w:rPr>
          <w:lang w:val="en-CA"/>
        </w:rPr>
        <w:t>近日，保监会发布《保险公司偿付能力监管规则第</w:t>
      </w:r>
      <w:r w:rsidRPr="0002040C">
        <w:rPr>
          <w:lang w:val="en-CA"/>
        </w:rPr>
        <w:t>×</w:t>
      </w:r>
      <w:r w:rsidRPr="0002040C">
        <w:rPr>
          <w:lang w:val="en-CA"/>
        </w:rPr>
        <w:t>号：分类监管（风险综合评级）（征求意见稿第三稿）》，这是偿二代分类监管制度第三次公开征求意见。下一步，将根据各方反馈意见对《征求意见稿》进行修订完善，计划今年年底前正式发布。</w:t>
      </w:r>
    </w:p>
    <w:p w:rsidR="0002040C" w:rsidRPr="0002040C" w:rsidRDefault="0002040C" w:rsidP="0002040C">
      <w:pPr>
        <w:pStyle w:val="50"/>
        <w:spacing w:after="312" w:line="320" w:lineRule="exact"/>
        <w:ind w:right="2730" w:firstLine="440"/>
        <w:rPr>
          <w:lang w:val="en-CA"/>
        </w:rPr>
      </w:pPr>
      <w:r w:rsidRPr="0002040C">
        <w:rPr>
          <w:lang w:val="en-CA"/>
        </w:rPr>
        <w:t>偿二代建立了定量资本要求、定性监管要求和市场约束机制组成的</w:t>
      </w:r>
      <w:r w:rsidRPr="0002040C">
        <w:rPr>
          <w:lang w:val="en-CA"/>
        </w:rPr>
        <w:t>“</w:t>
      </w:r>
      <w:r w:rsidRPr="0002040C">
        <w:rPr>
          <w:lang w:val="en-CA"/>
        </w:rPr>
        <w:t>三支柱</w:t>
      </w:r>
      <w:r w:rsidRPr="0002040C">
        <w:rPr>
          <w:lang w:val="en-CA"/>
        </w:rPr>
        <w:t>”</w:t>
      </w:r>
      <w:r w:rsidRPr="0002040C">
        <w:rPr>
          <w:lang w:val="en-CA"/>
        </w:rPr>
        <w:lastRenderedPageBreak/>
        <w:t>偿付能力监管框架，分类监管（风险综合评级）是第二支柱</w:t>
      </w:r>
      <w:r w:rsidRPr="0002040C">
        <w:rPr>
          <w:lang w:val="en-CA"/>
        </w:rPr>
        <w:t>“</w:t>
      </w:r>
      <w:r w:rsidRPr="0002040C">
        <w:rPr>
          <w:lang w:val="en-CA"/>
        </w:rPr>
        <w:t>定性监管要求</w:t>
      </w:r>
      <w:r w:rsidRPr="0002040C">
        <w:rPr>
          <w:lang w:val="en-CA"/>
        </w:rPr>
        <w:t>”</w:t>
      </w:r>
      <w:r w:rsidRPr="0002040C">
        <w:rPr>
          <w:lang w:val="en-CA"/>
        </w:rPr>
        <w:t>的重要组成部分，是对保险公司偿付能力风险最全面、最综合的监管评价。《征求意见稿》明确了偿二代分类监管的框架、原则和运行机制，与目前偿一代下的分类监管制度相比，主要有以下特点：第一，构建了</w:t>
      </w:r>
      <w:r w:rsidRPr="0002040C">
        <w:rPr>
          <w:lang w:val="en-CA"/>
        </w:rPr>
        <w:t>“</w:t>
      </w:r>
      <w:r w:rsidRPr="0002040C">
        <w:rPr>
          <w:lang w:val="en-CA"/>
        </w:rPr>
        <w:t>量化风险评价＋难以量化风险评价</w:t>
      </w:r>
      <w:r w:rsidRPr="0002040C">
        <w:rPr>
          <w:lang w:val="en-CA"/>
        </w:rPr>
        <w:t>”</w:t>
      </w:r>
      <w:r w:rsidRPr="0002040C">
        <w:rPr>
          <w:lang w:val="en-CA"/>
        </w:rPr>
        <w:t>的新框架。第二，强化了偿二代</w:t>
      </w:r>
      <w:r w:rsidRPr="0002040C">
        <w:rPr>
          <w:lang w:val="en-CA"/>
        </w:rPr>
        <w:t>“</w:t>
      </w:r>
      <w:r w:rsidRPr="0002040C">
        <w:rPr>
          <w:lang w:val="en-CA"/>
        </w:rPr>
        <w:t>三支柱</w:t>
      </w:r>
      <w:r w:rsidRPr="0002040C">
        <w:rPr>
          <w:lang w:val="en-CA"/>
        </w:rPr>
        <w:t>”</w:t>
      </w:r>
      <w:r w:rsidRPr="0002040C">
        <w:rPr>
          <w:lang w:val="en-CA"/>
        </w:rPr>
        <w:t>之间的纽带连接。第三，健全了相互协作、上下联动的偿付能力监管工作机制。第四，明确了</w:t>
      </w:r>
      <w:r w:rsidRPr="0002040C">
        <w:rPr>
          <w:lang w:val="en-CA"/>
        </w:rPr>
        <w:t>“</w:t>
      </w:r>
      <w:r w:rsidRPr="0002040C">
        <w:rPr>
          <w:lang w:val="en-CA"/>
        </w:rPr>
        <w:t>奖优罚劣</w:t>
      </w:r>
      <w:r w:rsidRPr="0002040C">
        <w:rPr>
          <w:lang w:val="en-CA"/>
        </w:rPr>
        <w:t>”</w:t>
      </w:r>
      <w:r w:rsidRPr="0002040C">
        <w:rPr>
          <w:lang w:val="en-CA"/>
        </w:rPr>
        <w:t>的监管原则。</w:t>
      </w:r>
    </w:p>
    <w:p w:rsidR="0002040C" w:rsidRPr="0002040C" w:rsidRDefault="0002040C" w:rsidP="0002040C">
      <w:pPr>
        <w:pStyle w:val="21"/>
        <w:numPr>
          <w:ilvl w:val="0"/>
          <w:numId w:val="8"/>
        </w:numPr>
        <w:spacing w:after="312"/>
      </w:pPr>
      <w:bookmarkStart w:id="14" w:name="_Toc401583863"/>
      <w:r w:rsidRPr="0002040C">
        <w:rPr>
          <w:rFonts w:hint="eastAsia"/>
        </w:rPr>
        <w:t>流动性监管规则年底前出台</w:t>
      </w:r>
      <w:bookmarkEnd w:id="14"/>
    </w:p>
    <w:p w:rsidR="0002040C" w:rsidRPr="0002040C" w:rsidRDefault="0002040C" w:rsidP="0002040C">
      <w:pPr>
        <w:pStyle w:val="50"/>
        <w:spacing w:after="312" w:line="320" w:lineRule="exact"/>
        <w:ind w:right="2730" w:firstLine="440"/>
        <w:rPr>
          <w:lang w:val="en-CA"/>
        </w:rPr>
      </w:pPr>
      <w:r w:rsidRPr="0002040C">
        <w:rPr>
          <w:lang w:val="en-CA"/>
        </w:rPr>
        <w:t>保监会近日发布《保险公司偿付能力监管规则第</w:t>
      </w:r>
      <w:r w:rsidRPr="0002040C">
        <w:rPr>
          <w:lang w:val="en-CA"/>
        </w:rPr>
        <w:t>×</w:t>
      </w:r>
      <w:r w:rsidRPr="0002040C">
        <w:rPr>
          <w:lang w:val="en-CA"/>
        </w:rPr>
        <w:t>号：流动性风险（征求意见稿第二稿）》，这是偿二代体系下流动性风险监管规则继</w:t>
      </w:r>
      <w:r w:rsidRPr="0002040C">
        <w:rPr>
          <w:lang w:val="en-CA"/>
        </w:rPr>
        <w:t>4</w:t>
      </w:r>
      <w:r w:rsidRPr="0002040C">
        <w:rPr>
          <w:lang w:val="en-CA"/>
        </w:rPr>
        <w:t>月份向各保监局和部分保险公司征求意见后，再次公开征求意见，并组织全行业开展首次现金流压力测试和监测指标定量测试</w:t>
      </w:r>
      <w:r w:rsidRPr="0002040C">
        <w:rPr>
          <w:rFonts w:hint="eastAsia"/>
          <w:lang w:val="en-CA"/>
        </w:rPr>
        <w:t>。</w:t>
      </w:r>
    </w:p>
    <w:p w:rsidR="0002040C" w:rsidRPr="0002040C" w:rsidRDefault="0002040C" w:rsidP="0002040C">
      <w:pPr>
        <w:pStyle w:val="50"/>
        <w:spacing w:after="312" w:line="320" w:lineRule="exact"/>
        <w:ind w:right="2730" w:firstLine="440"/>
        <w:rPr>
          <w:lang w:val="en-CA"/>
        </w:rPr>
      </w:pPr>
      <w:r w:rsidRPr="0002040C">
        <w:rPr>
          <w:lang w:val="en-CA"/>
        </w:rPr>
        <w:t>本次《征求意见稿》突出了偿二代下流动性风险监管规则的两个鲜明特征：</w:t>
      </w:r>
    </w:p>
    <w:p w:rsidR="0002040C" w:rsidRPr="0002040C" w:rsidRDefault="0002040C" w:rsidP="0002040C">
      <w:pPr>
        <w:pStyle w:val="50"/>
        <w:spacing w:after="312" w:line="320" w:lineRule="exact"/>
        <w:ind w:right="2730" w:firstLine="440"/>
        <w:rPr>
          <w:lang w:val="en-CA"/>
        </w:rPr>
      </w:pPr>
      <w:r w:rsidRPr="0002040C">
        <w:rPr>
          <w:lang w:val="en-CA"/>
        </w:rPr>
        <w:t>第一，监管理念、框架和工具与国际标准一致。首先，采纳了国际通行的流动性监管框架，即风险管理、监管指标、压力测试</w:t>
      </w:r>
      <w:r w:rsidRPr="0002040C">
        <w:rPr>
          <w:lang w:val="en-CA"/>
        </w:rPr>
        <w:t>“</w:t>
      </w:r>
      <w:r w:rsidRPr="0002040C">
        <w:rPr>
          <w:lang w:val="en-CA"/>
        </w:rPr>
        <w:t>三位一体</w:t>
      </w:r>
      <w:r w:rsidRPr="0002040C">
        <w:rPr>
          <w:lang w:val="en-CA"/>
        </w:rPr>
        <w:t>”</w:t>
      </w:r>
      <w:r w:rsidRPr="0002040C">
        <w:rPr>
          <w:lang w:val="en-CA"/>
        </w:rPr>
        <w:t>。其次，借鉴国际丰富实践，统一了产险公司和寿险公司的流动性监管规则，消除了产、寿险公司之间不必要的监管规则差异，避免集团内产、寿险之间出现监管套利。最后，设定了流动比率、综合流动比率、流动性覆盖率三个国际通行、可比、有效的流动性监管指标，对保险公司静态和动态、远期和近期的流动性风险进行预警监测。</w:t>
      </w:r>
    </w:p>
    <w:p w:rsidR="0002040C" w:rsidRPr="0002040C" w:rsidRDefault="0002040C" w:rsidP="0002040C">
      <w:pPr>
        <w:pStyle w:val="50"/>
        <w:spacing w:after="312" w:line="320" w:lineRule="exact"/>
        <w:ind w:right="2730" w:firstLine="440"/>
        <w:rPr>
          <w:lang w:val="en-CA"/>
        </w:rPr>
      </w:pPr>
      <w:r w:rsidRPr="0002040C">
        <w:rPr>
          <w:lang w:val="en-CA"/>
        </w:rPr>
        <w:t>第二，指标口径和参数充分体现我国实际。征求意见稿注重在借鉴国际通用指标的同时，结合我国保险业的实际进行修正和改进。例如，将</w:t>
      </w:r>
      <w:r w:rsidRPr="0002040C">
        <w:rPr>
          <w:lang w:val="en-CA"/>
        </w:rPr>
        <w:t>“</w:t>
      </w:r>
      <w:r w:rsidRPr="0002040C">
        <w:rPr>
          <w:lang w:val="en-CA"/>
        </w:rPr>
        <w:t>综合流动比率</w:t>
      </w:r>
      <w:r w:rsidRPr="0002040C">
        <w:rPr>
          <w:lang w:val="en-CA"/>
        </w:rPr>
        <w:t>”</w:t>
      </w:r>
      <w:r w:rsidRPr="0002040C">
        <w:rPr>
          <w:lang w:val="en-CA"/>
        </w:rPr>
        <w:t>的指标口径从</w:t>
      </w:r>
      <w:r w:rsidRPr="0002040C">
        <w:rPr>
          <w:lang w:val="en-CA"/>
        </w:rPr>
        <w:t>“</w:t>
      </w:r>
      <w:r w:rsidRPr="0002040C">
        <w:rPr>
          <w:lang w:val="en-CA"/>
        </w:rPr>
        <w:t>资产打折法</w:t>
      </w:r>
      <w:r w:rsidRPr="0002040C">
        <w:rPr>
          <w:lang w:val="en-CA"/>
        </w:rPr>
        <w:t>”</w:t>
      </w:r>
      <w:r w:rsidRPr="0002040C">
        <w:rPr>
          <w:lang w:val="en-CA"/>
        </w:rPr>
        <w:t>调整为</w:t>
      </w:r>
      <w:r w:rsidRPr="0002040C">
        <w:rPr>
          <w:lang w:val="en-CA"/>
        </w:rPr>
        <w:t>“</w:t>
      </w:r>
      <w:r w:rsidRPr="0002040C">
        <w:rPr>
          <w:lang w:val="en-CA"/>
        </w:rPr>
        <w:t>预期流量法</w:t>
      </w:r>
      <w:r w:rsidRPr="0002040C">
        <w:rPr>
          <w:lang w:val="en-CA"/>
        </w:rPr>
        <w:t>”</w:t>
      </w:r>
      <w:r w:rsidRPr="0002040C">
        <w:rPr>
          <w:lang w:val="en-CA"/>
        </w:rPr>
        <w:t>，将</w:t>
      </w:r>
      <w:r w:rsidRPr="0002040C">
        <w:rPr>
          <w:lang w:val="en-CA"/>
        </w:rPr>
        <w:t>“30</w:t>
      </w:r>
      <w:r w:rsidRPr="0002040C">
        <w:rPr>
          <w:lang w:val="en-CA"/>
        </w:rPr>
        <w:t>日流动性覆盖率</w:t>
      </w:r>
      <w:r w:rsidRPr="0002040C">
        <w:rPr>
          <w:lang w:val="en-CA"/>
        </w:rPr>
        <w:t>”</w:t>
      </w:r>
      <w:r w:rsidRPr="0002040C">
        <w:rPr>
          <w:lang w:val="en-CA"/>
        </w:rPr>
        <w:t>调整为</w:t>
      </w:r>
      <w:r w:rsidRPr="0002040C">
        <w:rPr>
          <w:lang w:val="en-CA"/>
        </w:rPr>
        <w:t>“90</w:t>
      </w:r>
      <w:r w:rsidRPr="0002040C">
        <w:rPr>
          <w:lang w:val="en-CA"/>
        </w:rPr>
        <w:t>日流动性覆盖率</w:t>
      </w:r>
      <w:r w:rsidRPr="0002040C">
        <w:rPr>
          <w:lang w:val="en-CA"/>
        </w:rPr>
        <w:t>”</w:t>
      </w:r>
      <w:r w:rsidRPr="0002040C">
        <w:rPr>
          <w:lang w:val="en-CA"/>
        </w:rPr>
        <w:t>，目的是使这些在成熟市场常用的监测指标能够在高速成长、波动性较大的新兴保险市场中也能有效地发挥风险预警的作用。各项监测指标的正常区间值也是根据保险业的实际数据测算而得，可以较好地反映行业流动性风险的特征。</w:t>
      </w:r>
      <w:r w:rsidRPr="0002040C">
        <w:rPr>
          <w:lang w:val="en-CA"/>
        </w:rPr>
        <w:t xml:space="preserve"> </w:t>
      </w:r>
    </w:p>
    <w:p w:rsidR="0002040C" w:rsidRPr="0002040C" w:rsidRDefault="0002040C" w:rsidP="0002040C">
      <w:pPr>
        <w:pStyle w:val="50"/>
        <w:spacing w:after="312" w:line="320" w:lineRule="exact"/>
        <w:ind w:right="2730" w:firstLine="440"/>
        <w:rPr>
          <w:lang w:val="en-CA"/>
        </w:rPr>
      </w:pPr>
      <w:r w:rsidRPr="0002040C">
        <w:rPr>
          <w:lang w:val="en-CA"/>
        </w:rPr>
        <w:t>下一步，保监会将根据定量测试结果和各方反馈意见对《征求意见稿》及压力测试情景进行修订完善，今年年底前将正式发布流动性风险监管规则</w:t>
      </w:r>
      <w:r w:rsidRPr="0002040C">
        <w:rPr>
          <w:rFonts w:hint="eastAsia"/>
          <w:lang w:val="en-CA"/>
        </w:rPr>
        <w:t>。</w:t>
      </w:r>
      <w:bookmarkStart w:id="15" w:name="_GoBack"/>
      <w:bookmarkEnd w:id="15"/>
    </w:p>
    <w:p w:rsidR="0002040C" w:rsidRDefault="00E409C0" w:rsidP="00E409C0">
      <w:pPr>
        <w:pStyle w:val="21"/>
        <w:numPr>
          <w:ilvl w:val="0"/>
          <w:numId w:val="8"/>
        </w:numPr>
        <w:spacing w:after="312"/>
        <w:rPr>
          <w:rFonts w:hint="eastAsia"/>
        </w:rPr>
      </w:pPr>
      <w:bookmarkStart w:id="16" w:name="_Toc401583864"/>
      <w:r w:rsidRPr="00E409C0">
        <w:rPr>
          <w:rFonts w:hint="eastAsia"/>
        </w:rPr>
        <w:t>我国明确建立巨灾保险制度路线图</w:t>
      </w:r>
      <w:bookmarkEnd w:id="16"/>
    </w:p>
    <w:p w:rsidR="00E409C0" w:rsidRPr="005B1933" w:rsidRDefault="00E409C0" w:rsidP="005B1933">
      <w:pPr>
        <w:pStyle w:val="50"/>
        <w:spacing w:after="312" w:line="320" w:lineRule="exact"/>
        <w:ind w:right="2730" w:firstLine="440"/>
        <w:rPr>
          <w:rFonts w:hint="eastAsia"/>
          <w:lang w:val="en-CA"/>
        </w:rPr>
      </w:pPr>
      <w:r w:rsidRPr="005B1933">
        <w:rPr>
          <w:rFonts w:hint="eastAsia"/>
          <w:lang w:val="en-CA"/>
        </w:rPr>
        <w:lastRenderedPageBreak/>
        <w:t>近日，保监会副主席周延礼在中国保险学会举办的省市金融办（局）“保险新国十条”交流会上称，建立巨灾保险制度主要分三个步骤：第一步，</w:t>
      </w:r>
      <w:r w:rsidRPr="005B1933">
        <w:rPr>
          <w:rFonts w:hint="eastAsia"/>
          <w:lang w:val="en-CA"/>
        </w:rPr>
        <w:t>2014</w:t>
      </w:r>
      <w:r w:rsidRPr="005B1933">
        <w:rPr>
          <w:rFonts w:hint="eastAsia"/>
          <w:lang w:val="en-CA"/>
        </w:rPr>
        <w:t>年前完成巨灾保险的专题研究，明确制度框架；第二步，</w:t>
      </w:r>
      <w:r w:rsidRPr="005B1933">
        <w:rPr>
          <w:rFonts w:hint="eastAsia"/>
          <w:lang w:val="en-CA"/>
        </w:rPr>
        <w:t>2017</w:t>
      </w:r>
      <w:r w:rsidRPr="005B1933">
        <w:rPr>
          <w:rFonts w:hint="eastAsia"/>
          <w:lang w:val="en-CA"/>
        </w:rPr>
        <w:t>年年底前，完成相关部署工作，推动出台地震、巨灾保险条例，建立巨灾保险基金；第三步在</w:t>
      </w:r>
      <w:r w:rsidRPr="005B1933">
        <w:rPr>
          <w:rFonts w:hint="eastAsia"/>
          <w:lang w:val="en-CA"/>
        </w:rPr>
        <w:t>2017</w:t>
      </w:r>
      <w:r w:rsidRPr="005B1933">
        <w:rPr>
          <w:rFonts w:hint="eastAsia"/>
          <w:lang w:val="en-CA"/>
        </w:rPr>
        <w:t>至</w:t>
      </w:r>
      <w:r w:rsidRPr="005B1933">
        <w:rPr>
          <w:rFonts w:hint="eastAsia"/>
          <w:lang w:val="en-CA"/>
        </w:rPr>
        <w:t>2020</w:t>
      </w:r>
      <w:r w:rsidRPr="005B1933">
        <w:rPr>
          <w:rFonts w:hint="eastAsia"/>
          <w:lang w:val="en-CA"/>
        </w:rPr>
        <w:t>年，全面实施巨灾保险制度，并将其纳入国家防灾减灾体系当中。</w:t>
      </w:r>
    </w:p>
    <w:p w:rsidR="00E409C0" w:rsidRDefault="00E409C0" w:rsidP="00674463">
      <w:pPr>
        <w:pStyle w:val="21"/>
        <w:numPr>
          <w:ilvl w:val="0"/>
          <w:numId w:val="8"/>
        </w:numPr>
        <w:spacing w:after="312"/>
        <w:rPr>
          <w:rFonts w:hint="eastAsia"/>
        </w:rPr>
      </w:pPr>
      <w:bookmarkStart w:id="17" w:name="_Toc401583865"/>
      <w:r>
        <w:rPr>
          <w:rFonts w:hint="eastAsia"/>
        </w:rPr>
        <w:t>团险业务：</w:t>
      </w:r>
      <w:r w:rsidRPr="00E409C0">
        <w:rPr>
          <w:rFonts w:hint="eastAsia"/>
        </w:rPr>
        <w:t>被保险人由</w:t>
      </w:r>
      <w:r w:rsidRPr="00E409C0">
        <w:rPr>
          <w:rFonts w:hint="eastAsia"/>
        </w:rPr>
        <w:t>5</w:t>
      </w:r>
      <w:r w:rsidRPr="00E409C0">
        <w:rPr>
          <w:rFonts w:hint="eastAsia"/>
        </w:rPr>
        <w:t>人降至</w:t>
      </w:r>
      <w:r w:rsidRPr="00E409C0">
        <w:rPr>
          <w:rFonts w:hint="eastAsia"/>
        </w:rPr>
        <w:t>3</w:t>
      </w:r>
      <w:r w:rsidRPr="00E409C0">
        <w:rPr>
          <w:rFonts w:hint="eastAsia"/>
        </w:rPr>
        <w:t>人</w:t>
      </w:r>
      <w:bookmarkEnd w:id="17"/>
    </w:p>
    <w:p w:rsidR="00674463" w:rsidRPr="005B1933" w:rsidRDefault="00674463" w:rsidP="005B1933">
      <w:pPr>
        <w:pStyle w:val="50"/>
        <w:spacing w:after="312" w:line="320" w:lineRule="exact"/>
        <w:ind w:right="2730" w:firstLine="440"/>
        <w:rPr>
          <w:rFonts w:hint="eastAsia"/>
          <w:lang w:val="en-CA"/>
        </w:rPr>
      </w:pPr>
      <w:r w:rsidRPr="005B1933">
        <w:rPr>
          <w:lang w:val="en-CA"/>
        </w:rPr>
        <w:t>保监会近日在保险行业系统内部下发的《关于促进团体保险健康发展有关问题的通知》（征求意见稿），将很快向社会公开征求意见。《征求意见稿》提出团体保险的被保险人在合同签发时不得少于</w:t>
      </w:r>
      <w:r w:rsidRPr="005B1933">
        <w:rPr>
          <w:lang w:val="en-CA"/>
        </w:rPr>
        <w:t>3</w:t>
      </w:r>
      <w:r w:rsidRPr="005B1933">
        <w:rPr>
          <w:lang w:val="en-CA"/>
        </w:rPr>
        <w:t>人，而此前</w:t>
      </w:r>
      <w:r w:rsidRPr="005B1933">
        <w:rPr>
          <w:lang w:val="en-CA"/>
        </w:rPr>
        <w:t>2005</w:t>
      </w:r>
      <w:r w:rsidRPr="005B1933">
        <w:rPr>
          <w:lang w:val="en-CA"/>
        </w:rPr>
        <w:t>年的《关于规范团体保险经营行为有关问题的通知》（保监发【</w:t>
      </w:r>
      <w:r w:rsidRPr="005B1933">
        <w:rPr>
          <w:lang w:val="en-CA"/>
        </w:rPr>
        <w:t>2005</w:t>
      </w:r>
      <w:r w:rsidRPr="005B1933">
        <w:rPr>
          <w:lang w:val="en-CA"/>
        </w:rPr>
        <w:t>】</w:t>
      </w:r>
      <w:r w:rsidRPr="005B1933">
        <w:rPr>
          <w:lang w:val="en-CA"/>
        </w:rPr>
        <w:t>62</w:t>
      </w:r>
      <w:r w:rsidRPr="005B1933">
        <w:rPr>
          <w:lang w:val="en-CA"/>
        </w:rPr>
        <w:t>号），规定是</w:t>
      </w:r>
      <w:r w:rsidRPr="005B1933">
        <w:rPr>
          <w:lang w:val="en-CA"/>
        </w:rPr>
        <w:t>“5</w:t>
      </w:r>
      <w:r w:rsidRPr="005B1933">
        <w:rPr>
          <w:lang w:val="en-CA"/>
        </w:rPr>
        <w:t>人以上</w:t>
      </w:r>
      <w:r w:rsidRPr="005B1933">
        <w:rPr>
          <w:lang w:val="en-CA"/>
        </w:rPr>
        <w:t>”</w:t>
      </w:r>
      <w:r w:rsidRPr="005B1933">
        <w:rPr>
          <w:lang w:val="en-CA"/>
        </w:rPr>
        <w:t>。</w:t>
      </w:r>
    </w:p>
    <w:p w:rsidR="00087EBB" w:rsidRPr="00087EBB" w:rsidRDefault="00087EBB" w:rsidP="00087EBB">
      <w:pPr>
        <w:pStyle w:val="21"/>
        <w:numPr>
          <w:ilvl w:val="0"/>
          <w:numId w:val="8"/>
        </w:numPr>
        <w:spacing w:after="312"/>
        <w:rPr>
          <w:rFonts w:hint="eastAsia"/>
        </w:rPr>
      </w:pPr>
      <w:bookmarkStart w:id="18" w:name="_Toc401583866"/>
      <w:r w:rsidRPr="00087EBB">
        <w:rPr>
          <w:rFonts w:hint="eastAsia"/>
        </w:rPr>
        <w:t>前三季度保费收入</w:t>
      </w:r>
      <w:r>
        <w:rPr>
          <w:rFonts w:hint="eastAsia"/>
        </w:rPr>
        <w:t>增速均</w:t>
      </w:r>
      <w:r w:rsidRPr="00087EBB">
        <w:rPr>
          <w:rFonts w:hint="eastAsia"/>
        </w:rPr>
        <w:t>超</w:t>
      </w:r>
      <w:r w:rsidRPr="00087EBB">
        <w:rPr>
          <w:rFonts w:hint="eastAsia"/>
        </w:rPr>
        <w:t>20%</w:t>
      </w:r>
      <w:bookmarkEnd w:id="18"/>
    </w:p>
    <w:p w:rsidR="00FA482B" w:rsidRPr="005B1933" w:rsidRDefault="00087EBB" w:rsidP="005B1933">
      <w:pPr>
        <w:pStyle w:val="50"/>
        <w:spacing w:after="312" w:line="320" w:lineRule="exact"/>
        <w:ind w:right="2730" w:firstLine="440"/>
        <w:rPr>
          <w:lang w:val="en-CA"/>
        </w:rPr>
      </w:pPr>
      <w:r w:rsidRPr="005B1933">
        <w:rPr>
          <w:rFonts w:hint="eastAsia"/>
          <w:lang w:val="en-CA"/>
        </w:rPr>
        <w:t>10</w:t>
      </w:r>
      <w:r w:rsidRPr="005B1933">
        <w:rPr>
          <w:rFonts w:hint="eastAsia"/>
          <w:lang w:val="en-CA"/>
        </w:rPr>
        <w:t>月</w:t>
      </w:r>
      <w:r w:rsidRPr="005B1933">
        <w:rPr>
          <w:rFonts w:hint="eastAsia"/>
          <w:lang w:val="en-CA"/>
        </w:rPr>
        <w:t>14</w:t>
      </w:r>
      <w:r w:rsidRPr="005B1933">
        <w:rPr>
          <w:rFonts w:hint="eastAsia"/>
          <w:lang w:val="en-CA"/>
        </w:rPr>
        <w:t>日，《</w:t>
      </w:r>
      <w:r w:rsidRPr="005B1933">
        <w:rPr>
          <w:rFonts w:hint="eastAsia"/>
          <w:lang w:val="en-CA"/>
        </w:rPr>
        <w:t>21</w:t>
      </w:r>
      <w:r w:rsidRPr="005B1933">
        <w:rPr>
          <w:rFonts w:hint="eastAsia"/>
          <w:lang w:val="en-CA"/>
        </w:rPr>
        <w:t>世纪经济报道》从保监会处获悉，我国今年保费收入增速前三季度（</w:t>
      </w:r>
      <w:r w:rsidRPr="005B1933">
        <w:rPr>
          <w:rFonts w:hint="eastAsia"/>
          <w:lang w:val="en-CA"/>
        </w:rPr>
        <w:t>1-9</w:t>
      </w:r>
      <w:r w:rsidRPr="005B1933">
        <w:rPr>
          <w:rFonts w:hint="eastAsia"/>
          <w:lang w:val="en-CA"/>
        </w:rPr>
        <w:t>月）均保持在</w:t>
      </w:r>
      <w:r w:rsidRPr="005B1933">
        <w:rPr>
          <w:rFonts w:hint="eastAsia"/>
          <w:lang w:val="en-CA"/>
        </w:rPr>
        <w:t>20</w:t>
      </w:r>
      <w:r w:rsidRPr="005B1933">
        <w:rPr>
          <w:rFonts w:hint="eastAsia"/>
          <w:lang w:val="en-CA"/>
        </w:rPr>
        <w:t>％以上。由于去年全年有</w:t>
      </w:r>
      <w:r w:rsidRPr="005B1933">
        <w:rPr>
          <w:rFonts w:hint="eastAsia"/>
          <w:lang w:val="en-CA"/>
        </w:rPr>
        <w:t>1.72</w:t>
      </w:r>
      <w:r w:rsidRPr="005B1933">
        <w:rPr>
          <w:rFonts w:hint="eastAsia"/>
          <w:lang w:val="en-CA"/>
        </w:rPr>
        <w:t>万亿元人民币的保费收入，按此增速预测，今年全年收入可望突破</w:t>
      </w:r>
      <w:r w:rsidRPr="005B1933">
        <w:rPr>
          <w:rFonts w:hint="eastAsia"/>
          <w:lang w:val="en-CA"/>
        </w:rPr>
        <w:t>2</w:t>
      </w:r>
      <w:r w:rsidRPr="005B1933">
        <w:rPr>
          <w:rFonts w:hint="eastAsia"/>
          <w:lang w:val="en-CA"/>
        </w:rPr>
        <w:t>万亿，届时将居世界第三位。当日，在中国保险学会举办的省市金融办（局）“保险新国十条”交流会上，保监会副主席周延礼发言称，新国十条“在各地方相关公司推动快速。下一步保监会主要工作有：一方面，大力发展健康险、养老险等保障型险种。</w:t>
      </w:r>
      <w:r w:rsidR="00FA482B" w:rsidRPr="005B1933">
        <w:rPr>
          <w:rFonts w:hint="eastAsia"/>
          <w:lang w:val="en-CA"/>
        </w:rPr>
        <w:t>个人税收递延型养老保险试点</w:t>
      </w:r>
      <w:r w:rsidRPr="005B1933">
        <w:rPr>
          <w:rFonts w:hint="eastAsia"/>
          <w:lang w:val="en-CA"/>
        </w:rPr>
        <w:t>已经确定的试点城市是上海。</w:t>
      </w:r>
      <w:r w:rsidR="00FA482B" w:rsidRPr="005B1933">
        <w:rPr>
          <w:rFonts w:hint="eastAsia"/>
          <w:lang w:val="en-CA"/>
        </w:rPr>
        <w:t>另一方面是农险和保险资金运用。近期将会有不断鼓励创新、探索的利好新政策研究和出台。投资领域将重点支持引导保险公司在基础设施建设、棚户区改造、股债券结合等领域探索。保险投资方面，将加快推进保险资金运用顶层设计，完善政策制度。积极争取国家对长期投资资金予以税收优惠，积极协调通过股权投资计划形式投资而带来的双重征税问题</w:t>
      </w:r>
    </w:p>
    <w:p w:rsidR="00674463" w:rsidRPr="00FA482B" w:rsidRDefault="00FA482B" w:rsidP="00FA482B">
      <w:pPr>
        <w:pStyle w:val="50"/>
        <w:spacing w:after="312"/>
        <w:ind w:right="2730" w:firstLine="440"/>
      </w:pPr>
      <w:r>
        <w:br w:type="page"/>
      </w:r>
    </w:p>
    <w:p w:rsidR="000632C0" w:rsidRDefault="000632C0" w:rsidP="00785A2B">
      <w:pPr>
        <w:pStyle w:val="11"/>
        <w:spacing w:after="312"/>
      </w:pPr>
      <w:bookmarkStart w:id="19" w:name="_Toc392054530"/>
      <w:bookmarkStart w:id="20" w:name="_Toc397434608"/>
      <w:bookmarkStart w:id="21" w:name="_Toc398648827"/>
      <w:bookmarkStart w:id="22" w:name="_Toc401583867"/>
      <w:r>
        <w:rPr>
          <w:rFonts w:hint="eastAsia"/>
        </w:rPr>
        <w:lastRenderedPageBreak/>
        <w:t>二</w:t>
      </w:r>
      <w:r w:rsidRPr="00C27076">
        <w:rPr>
          <w:rFonts w:hint="eastAsia"/>
        </w:rPr>
        <w:t>、</w:t>
      </w:r>
      <w:bookmarkEnd w:id="19"/>
      <w:bookmarkEnd w:id="20"/>
      <w:bookmarkEnd w:id="21"/>
      <w:r w:rsidR="000914F0" w:rsidRPr="000914F0">
        <w:rPr>
          <w:rFonts w:hint="eastAsia"/>
        </w:rPr>
        <w:t>行业</w:t>
      </w:r>
      <w:r w:rsidR="00722CB1">
        <w:rPr>
          <w:rFonts w:hint="eastAsia"/>
        </w:rPr>
        <w:t>数据</w:t>
      </w:r>
      <w:bookmarkEnd w:id="22"/>
    </w:p>
    <w:tbl>
      <w:tblPr>
        <w:tblW w:w="10314" w:type="dxa"/>
        <w:tblBorders>
          <w:top w:val="single" w:sz="4" w:space="0" w:color="auto"/>
          <w:bottom w:val="single" w:sz="4" w:space="0" w:color="auto"/>
          <w:insideH w:val="single" w:sz="4" w:space="0" w:color="auto"/>
          <w:insideV w:val="single" w:sz="4" w:space="0" w:color="auto"/>
        </w:tblBorders>
        <w:tblLayout w:type="fixed"/>
        <w:tblLook w:val="0000"/>
      </w:tblPr>
      <w:tblGrid>
        <w:gridCol w:w="5211"/>
        <w:gridCol w:w="5103"/>
      </w:tblGrid>
      <w:tr w:rsidR="00CC4934" w:rsidRPr="009A3F94" w:rsidTr="004D5810">
        <w:tc>
          <w:tcPr>
            <w:tcW w:w="5211" w:type="dxa"/>
            <w:tcBorders>
              <w:top w:val="nil"/>
              <w:bottom w:val="nil"/>
              <w:right w:val="nil"/>
              <w:tl2br w:val="nil"/>
              <w:tr2bl w:val="nil"/>
            </w:tcBorders>
            <w:vAlign w:val="center"/>
          </w:tcPr>
          <w:p w:rsidR="00CC4934" w:rsidRPr="00975F62" w:rsidRDefault="00CC4934" w:rsidP="00CC4934">
            <w:pPr>
              <w:pStyle w:val="60"/>
              <w:spacing w:before="312"/>
              <w:ind w:leftChars="4" w:left="724" w:hangingChars="396" w:hanging="716"/>
              <w:rPr>
                <w:rFonts w:ascii="楷体_GB2312"/>
              </w:rPr>
            </w:pPr>
            <w:bookmarkStart w:id="23" w:name="_Toc400957553"/>
            <w:bookmarkStart w:id="24" w:name="_Toc401583880"/>
            <w:r w:rsidRPr="00975F62">
              <w:rPr>
                <w:rFonts w:ascii="楷体_GB2312" w:hint="eastAsia"/>
              </w:rPr>
              <w:t>图表1：</w:t>
            </w:r>
            <w:r>
              <w:rPr>
                <w:rFonts w:ascii="楷体_GB2312" w:hint="eastAsia"/>
              </w:rPr>
              <w:t>保费与营业费用同比增速</w:t>
            </w:r>
            <w:bookmarkEnd w:id="23"/>
            <w:bookmarkEnd w:id="24"/>
          </w:p>
        </w:tc>
        <w:tc>
          <w:tcPr>
            <w:tcW w:w="5103" w:type="dxa"/>
            <w:tcBorders>
              <w:top w:val="nil"/>
              <w:left w:val="nil"/>
              <w:bottom w:val="nil"/>
              <w:tl2br w:val="nil"/>
              <w:tr2bl w:val="nil"/>
            </w:tcBorders>
            <w:vAlign w:val="center"/>
          </w:tcPr>
          <w:p w:rsidR="00CC4934" w:rsidRPr="00975F62" w:rsidRDefault="00CC4934" w:rsidP="00CC4934">
            <w:pPr>
              <w:pStyle w:val="60"/>
              <w:spacing w:before="312"/>
              <w:ind w:leftChars="4" w:left="348" w:hangingChars="188" w:hanging="340"/>
              <w:rPr>
                <w:rFonts w:ascii="楷体_GB2312"/>
              </w:rPr>
            </w:pPr>
            <w:bookmarkStart w:id="25" w:name="_Toc400957554"/>
            <w:bookmarkStart w:id="26" w:name="_Toc401583881"/>
            <w:r w:rsidRPr="00975F62">
              <w:rPr>
                <w:rFonts w:ascii="楷体_GB2312" w:hint="eastAsia"/>
              </w:rPr>
              <w:t>图表2：2014</w:t>
            </w:r>
            <w:r>
              <w:rPr>
                <w:rFonts w:ascii="楷体_GB2312" w:hint="eastAsia"/>
              </w:rPr>
              <w:t>年8月各险种保费同比增速</w:t>
            </w:r>
            <w:bookmarkEnd w:id="25"/>
            <w:bookmarkEnd w:id="26"/>
          </w:p>
        </w:tc>
      </w:tr>
      <w:tr w:rsidR="00CC4934" w:rsidTr="004D5810">
        <w:tc>
          <w:tcPr>
            <w:tcW w:w="5211" w:type="dxa"/>
            <w:tcBorders>
              <w:top w:val="nil"/>
              <w:bottom w:val="nil"/>
              <w:right w:val="nil"/>
              <w:tl2br w:val="nil"/>
              <w:tr2bl w:val="nil"/>
            </w:tcBorders>
            <w:vAlign w:val="center"/>
          </w:tcPr>
          <w:p w:rsidR="00CC4934" w:rsidRPr="00F82369" w:rsidRDefault="00CC4934" w:rsidP="004D5810">
            <w:pPr>
              <w:pStyle w:val="22"/>
              <w:pBdr>
                <w:top w:val="single" w:sz="4" w:space="1" w:color="auto"/>
                <w:bottom w:val="single" w:sz="4" w:space="1" w:color="auto"/>
              </w:pBdr>
              <w:ind w:leftChars="0" w:left="0"/>
              <w:rPr>
                <w:noProof/>
              </w:rPr>
            </w:pPr>
            <w:r w:rsidRPr="00E26331">
              <w:rPr>
                <w:noProof/>
              </w:rPr>
              <w:drawing>
                <wp:inline distT="0" distB="0" distL="0" distR="0">
                  <wp:extent cx="3180521" cy="2170706"/>
                  <wp:effectExtent l="0" t="0" r="0"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103" w:type="dxa"/>
            <w:tcBorders>
              <w:top w:val="nil"/>
              <w:left w:val="nil"/>
              <w:bottom w:val="nil"/>
              <w:tl2br w:val="nil"/>
              <w:tr2bl w:val="nil"/>
            </w:tcBorders>
          </w:tcPr>
          <w:p w:rsidR="00CC4934" w:rsidRPr="00F82369" w:rsidRDefault="00CC4934" w:rsidP="004D5810">
            <w:pPr>
              <w:pStyle w:val="22"/>
              <w:keepNext/>
              <w:pBdr>
                <w:top w:val="single" w:sz="4" w:space="1" w:color="auto"/>
                <w:bottom w:val="single" w:sz="4" w:space="1" w:color="auto"/>
              </w:pBdr>
              <w:ind w:leftChars="0" w:left="0"/>
              <w:rPr>
                <w:noProof/>
              </w:rPr>
            </w:pPr>
            <w:r w:rsidRPr="00CB5018">
              <w:rPr>
                <w:noProof/>
              </w:rPr>
              <w:drawing>
                <wp:inline distT="0" distB="0" distL="0" distR="0">
                  <wp:extent cx="3124863" cy="2130949"/>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CC4934" w:rsidRDefault="00CC4934" w:rsidP="00CC4934">
      <w:pPr>
        <w:pStyle w:val="90"/>
        <w:spacing w:after="312"/>
      </w:pPr>
      <w:r w:rsidRPr="00624AD5">
        <w:rPr>
          <w:rFonts w:hint="eastAsia"/>
        </w:rPr>
        <w:t>数据来源：</w:t>
      </w:r>
      <w:r>
        <w:rPr>
          <w:rFonts w:hint="eastAsia"/>
        </w:rPr>
        <w:t>WIND</w:t>
      </w:r>
      <w:r w:rsidRPr="00624AD5">
        <w:rPr>
          <w:rFonts w:hint="eastAsia"/>
        </w:rPr>
        <w:t>，华融证券整理</w:t>
      </w:r>
      <w:r>
        <w:rPr>
          <w:rFonts w:hint="eastAsia"/>
        </w:rPr>
        <w:t xml:space="preserve"> </w:t>
      </w:r>
      <w:r w:rsidRPr="00624AD5">
        <w:rPr>
          <w:rFonts w:hint="eastAsia"/>
        </w:rPr>
        <w:t xml:space="preserve">     </w:t>
      </w:r>
      <w:r>
        <w:rPr>
          <w:rFonts w:hint="eastAsia"/>
        </w:rPr>
        <w:t xml:space="preserve">                              </w:t>
      </w:r>
      <w:r w:rsidRPr="00624AD5">
        <w:rPr>
          <w:rFonts w:hint="eastAsia"/>
        </w:rPr>
        <w:t>数据来源：</w:t>
      </w:r>
      <w:r>
        <w:rPr>
          <w:rFonts w:hint="eastAsia"/>
        </w:rPr>
        <w:t>WIND</w:t>
      </w:r>
      <w:r w:rsidRPr="00624AD5">
        <w:rPr>
          <w:rFonts w:hint="eastAsia"/>
        </w:rPr>
        <w:t>，华融证券整理</w:t>
      </w:r>
    </w:p>
    <w:tbl>
      <w:tblPr>
        <w:tblW w:w="10314" w:type="dxa"/>
        <w:tblBorders>
          <w:top w:val="single" w:sz="4" w:space="0" w:color="auto"/>
          <w:bottom w:val="single" w:sz="4" w:space="0" w:color="auto"/>
          <w:insideH w:val="single" w:sz="4" w:space="0" w:color="auto"/>
          <w:insideV w:val="single" w:sz="4" w:space="0" w:color="auto"/>
        </w:tblBorders>
        <w:tblLayout w:type="fixed"/>
        <w:tblLook w:val="0000"/>
      </w:tblPr>
      <w:tblGrid>
        <w:gridCol w:w="5211"/>
        <w:gridCol w:w="5103"/>
      </w:tblGrid>
      <w:tr w:rsidR="00CC4934" w:rsidRPr="009A3F94" w:rsidTr="004D5810">
        <w:tc>
          <w:tcPr>
            <w:tcW w:w="5211" w:type="dxa"/>
            <w:tcBorders>
              <w:top w:val="nil"/>
              <w:bottom w:val="nil"/>
              <w:right w:val="nil"/>
              <w:tl2br w:val="nil"/>
              <w:tr2bl w:val="nil"/>
            </w:tcBorders>
            <w:vAlign w:val="center"/>
          </w:tcPr>
          <w:p w:rsidR="00CC4934" w:rsidRPr="00122A4A" w:rsidRDefault="00CC4934" w:rsidP="00CC4934">
            <w:pPr>
              <w:pStyle w:val="60"/>
              <w:spacing w:before="312"/>
              <w:ind w:left="716" w:hangingChars="396" w:hanging="716"/>
              <w:rPr>
                <w:rFonts w:ascii="楷体_GB2312"/>
                <w:sz w:val="22"/>
                <w:szCs w:val="22"/>
              </w:rPr>
            </w:pPr>
            <w:bookmarkStart w:id="27" w:name="_Toc400957555"/>
            <w:bookmarkStart w:id="28" w:name="_Toc401583882"/>
            <w:r w:rsidRPr="00975F62">
              <w:rPr>
                <w:rFonts w:ascii="楷体_GB2312" w:hint="eastAsia"/>
              </w:rPr>
              <w:t>图表3：</w:t>
            </w:r>
            <w:r>
              <w:rPr>
                <w:rFonts w:ascii="楷体_GB2312" w:hint="eastAsia"/>
              </w:rPr>
              <w:t>债券占险资运用余额比（月）</w:t>
            </w:r>
            <w:bookmarkEnd w:id="27"/>
            <w:bookmarkEnd w:id="28"/>
          </w:p>
        </w:tc>
        <w:tc>
          <w:tcPr>
            <w:tcW w:w="5103" w:type="dxa"/>
            <w:tcBorders>
              <w:top w:val="nil"/>
              <w:left w:val="nil"/>
              <w:bottom w:val="nil"/>
              <w:tl2br w:val="nil"/>
              <w:tr2bl w:val="nil"/>
            </w:tcBorders>
            <w:vAlign w:val="center"/>
          </w:tcPr>
          <w:p w:rsidR="00CC4934" w:rsidRPr="00122A4A" w:rsidRDefault="00CC4934" w:rsidP="00CC4934">
            <w:pPr>
              <w:pStyle w:val="60"/>
              <w:spacing w:before="312"/>
              <w:ind w:leftChars="4" w:left="348" w:hangingChars="188" w:hanging="340"/>
              <w:rPr>
                <w:rFonts w:ascii="楷体_GB2312"/>
                <w:sz w:val="22"/>
                <w:szCs w:val="22"/>
              </w:rPr>
            </w:pPr>
            <w:bookmarkStart w:id="29" w:name="_Toc400957556"/>
            <w:bookmarkStart w:id="30" w:name="_Toc401583883"/>
            <w:r w:rsidRPr="00975F62">
              <w:rPr>
                <w:rFonts w:ascii="楷体_GB2312" w:hint="eastAsia"/>
              </w:rPr>
              <w:t>图表4：</w:t>
            </w:r>
            <w:r>
              <w:rPr>
                <w:rFonts w:ascii="楷体_GB2312" w:hint="eastAsia"/>
              </w:rPr>
              <w:t>中证10债累计涨跌幅（周，%）</w:t>
            </w:r>
            <w:bookmarkEnd w:id="29"/>
            <w:bookmarkEnd w:id="30"/>
          </w:p>
        </w:tc>
      </w:tr>
      <w:tr w:rsidR="00CC4934" w:rsidTr="004D5810">
        <w:tc>
          <w:tcPr>
            <w:tcW w:w="5211" w:type="dxa"/>
            <w:tcBorders>
              <w:top w:val="nil"/>
              <w:bottom w:val="nil"/>
              <w:right w:val="nil"/>
              <w:tl2br w:val="nil"/>
              <w:tr2bl w:val="nil"/>
            </w:tcBorders>
            <w:vAlign w:val="center"/>
          </w:tcPr>
          <w:p w:rsidR="00CC4934" w:rsidRPr="00286C0D" w:rsidRDefault="00CC4934" w:rsidP="004D5810">
            <w:pPr>
              <w:pStyle w:val="22"/>
              <w:pBdr>
                <w:top w:val="single" w:sz="4" w:space="1" w:color="auto"/>
                <w:bottom w:val="single" w:sz="4" w:space="1" w:color="auto"/>
              </w:pBdr>
              <w:ind w:leftChars="0" w:left="0"/>
              <w:rPr>
                <w:noProof/>
              </w:rPr>
            </w:pPr>
            <w:r w:rsidRPr="00E26331">
              <w:rPr>
                <w:noProof/>
              </w:rPr>
              <w:drawing>
                <wp:inline distT="0" distB="0" distL="0" distR="0">
                  <wp:extent cx="3180521" cy="2162755"/>
                  <wp:effectExtent l="0" t="0" r="0" b="0"/>
                  <wp:docPr id="42"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03" w:type="dxa"/>
            <w:tcBorders>
              <w:top w:val="nil"/>
              <w:left w:val="nil"/>
              <w:bottom w:val="nil"/>
              <w:tl2br w:val="nil"/>
              <w:tr2bl w:val="nil"/>
            </w:tcBorders>
          </w:tcPr>
          <w:p w:rsidR="00CC4934" w:rsidRPr="00F82369" w:rsidRDefault="007C10FB" w:rsidP="004D5810">
            <w:pPr>
              <w:pStyle w:val="22"/>
              <w:keepNext/>
              <w:pBdr>
                <w:top w:val="single" w:sz="4" w:space="1" w:color="auto"/>
                <w:bottom w:val="single" w:sz="4" w:space="1" w:color="auto"/>
              </w:pBdr>
              <w:ind w:leftChars="0" w:left="0"/>
              <w:rPr>
                <w:noProof/>
              </w:rPr>
            </w:pPr>
            <w:r w:rsidRPr="007C10FB">
              <w:rPr>
                <w:noProof/>
              </w:rPr>
              <w:drawing>
                <wp:inline distT="0" distB="0" distL="0" distR="0">
                  <wp:extent cx="3085106" cy="2130949"/>
                  <wp:effectExtent l="0" t="0" r="0" b="0"/>
                  <wp:docPr id="2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FA482B" w:rsidRDefault="00CC4934" w:rsidP="00CC4934">
      <w:pPr>
        <w:pStyle w:val="90"/>
        <w:spacing w:after="312"/>
      </w:pPr>
      <w:r w:rsidRPr="00624AD5">
        <w:rPr>
          <w:rFonts w:hint="eastAsia"/>
        </w:rPr>
        <w:t>数据来源：</w:t>
      </w:r>
      <w:r>
        <w:rPr>
          <w:rFonts w:hint="eastAsia"/>
        </w:rPr>
        <w:t>WIND</w:t>
      </w:r>
      <w:r w:rsidRPr="00624AD5">
        <w:rPr>
          <w:rFonts w:hint="eastAsia"/>
        </w:rPr>
        <w:t>，华融证券整理</w:t>
      </w:r>
      <w:r>
        <w:rPr>
          <w:rFonts w:hint="eastAsia"/>
        </w:rPr>
        <w:t xml:space="preserve">                                    </w:t>
      </w:r>
      <w:r w:rsidRPr="00624AD5">
        <w:rPr>
          <w:rFonts w:hint="eastAsia"/>
        </w:rPr>
        <w:t>数据来源：</w:t>
      </w:r>
      <w:r>
        <w:rPr>
          <w:rFonts w:hint="eastAsia"/>
        </w:rPr>
        <w:t>WIND</w:t>
      </w:r>
      <w:r w:rsidRPr="00624AD5">
        <w:rPr>
          <w:rFonts w:hint="eastAsia"/>
        </w:rPr>
        <w:t>，华融证券整理</w:t>
      </w:r>
    </w:p>
    <w:p w:rsidR="000175DA" w:rsidRPr="00FA482B" w:rsidRDefault="00FA482B" w:rsidP="00FA482B">
      <w:pPr>
        <w:widowControl/>
        <w:jc w:val="left"/>
        <w:rPr>
          <w:rFonts w:ascii="Arial" w:eastAsia="楷体_GB2312" w:hAnsi="Arial" w:cs="Arial"/>
          <w:color w:val="000000"/>
          <w:sz w:val="16"/>
        </w:rPr>
      </w:pPr>
      <w:r>
        <w:br w:type="page"/>
      </w:r>
    </w:p>
    <w:p w:rsidR="000632C0" w:rsidRDefault="000632C0" w:rsidP="00785A2B">
      <w:pPr>
        <w:pStyle w:val="11"/>
        <w:spacing w:after="312"/>
      </w:pPr>
      <w:bookmarkStart w:id="31" w:name="_Toc392054531"/>
      <w:bookmarkStart w:id="32" w:name="_Toc397434609"/>
      <w:bookmarkStart w:id="33" w:name="_Toc398648828"/>
      <w:bookmarkStart w:id="34" w:name="_Toc401583868"/>
      <w:r>
        <w:rPr>
          <w:rFonts w:hint="eastAsia"/>
        </w:rPr>
        <w:lastRenderedPageBreak/>
        <w:t>三</w:t>
      </w:r>
      <w:r w:rsidRPr="00C27076">
        <w:rPr>
          <w:rFonts w:hint="eastAsia"/>
        </w:rPr>
        <w:t>、</w:t>
      </w:r>
      <w:bookmarkEnd w:id="31"/>
      <w:bookmarkEnd w:id="32"/>
      <w:bookmarkEnd w:id="33"/>
      <w:r w:rsidR="000914F0" w:rsidRPr="000914F0">
        <w:rPr>
          <w:rFonts w:hint="eastAsia"/>
        </w:rPr>
        <w:t>公司动态</w:t>
      </w:r>
      <w:bookmarkEnd w:id="34"/>
    </w:p>
    <w:p w:rsidR="005005D9" w:rsidRPr="005005D9" w:rsidRDefault="005005D9" w:rsidP="005005D9">
      <w:pPr>
        <w:pStyle w:val="21"/>
        <w:numPr>
          <w:ilvl w:val="0"/>
          <w:numId w:val="9"/>
        </w:numPr>
        <w:spacing w:after="312"/>
        <w:rPr>
          <w:rFonts w:hint="eastAsia"/>
        </w:rPr>
      </w:pPr>
      <w:bookmarkStart w:id="35" w:name="_Toc401583869"/>
      <w:r>
        <w:rPr>
          <w:rFonts w:hint="eastAsia"/>
        </w:rPr>
        <w:t>四股东转让华泰保险约</w:t>
      </w:r>
      <w:r>
        <w:rPr>
          <w:rFonts w:hint="eastAsia"/>
        </w:rPr>
        <w:t>2.5</w:t>
      </w:r>
      <w:r>
        <w:rPr>
          <w:rFonts w:hint="eastAsia"/>
        </w:rPr>
        <w:t>亿股</w:t>
      </w:r>
      <w:bookmarkEnd w:id="35"/>
    </w:p>
    <w:p w:rsidR="005005D9" w:rsidRDefault="005005D9" w:rsidP="005005D9">
      <w:pPr>
        <w:pStyle w:val="50"/>
        <w:spacing w:after="312" w:line="320" w:lineRule="exact"/>
        <w:ind w:right="2730" w:firstLine="440"/>
        <w:rPr>
          <w:rFonts w:hint="eastAsia"/>
          <w:lang w:val="en-CA"/>
        </w:rPr>
      </w:pPr>
      <w:r w:rsidRPr="005005D9">
        <w:rPr>
          <w:rFonts w:hint="eastAsia"/>
          <w:lang w:val="en-CA"/>
        </w:rPr>
        <w:t>近日，华泰保险一天内在上海联合产权交易（以下简称“上交所”）所四次挂牌，转让方分别为宝钢集团有限公司、宝钢集团新疆八一钢铁有限公司、宝钢集团上海五钢有限公司、中海石油投资控股有限公司，共计转让股权</w:t>
      </w:r>
      <w:r w:rsidRPr="005005D9">
        <w:rPr>
          <w:rFonts w:hint="eastAsia"/>
          <w:lang w:val="en-CA"/>
        </w:rPr>
        <w:t>2.486</w:t>
      </w:r>
      <w:r w:rsidRPr="005005D9">
        <w:rPr>
          <w:rFonts w:hint="eastAsia"/>
          <w:lang w:val="en-CA"/>
        </w:rPr>
        <w:t>亿股，挂牌价格共计约</w:t>
      </w:r>
      <w:r w:rsidRPr="005005D9">
        <w:rPr>
          <w:rFonts w:hint="eastAsia"/>
          <w:lang w:val="en-CA"/>
        </w:rPr>
        <w:t>10.143</w:t>
      </w:r>
      <w:r w:rsidRPr="005005D9">
        <w:rPr>
          <w:rFonts w:hint="eastAsia"/>
          <w:lang w:val="en-CA"/>
        </w:rPr>
        <w:t>亿元。</w:t>
      </w:r>
    </w:p>
    <w:p w:rsidR="005005D9" w:rsidRDefault="005005D9" w:rsidP="005005D9">
      <w:pPr>
        <w:pStyle w:val="50"/>
        <w:spacing w:after="312" w:line="320" w:lineRule="exact"/>
        <w:ind w:right="2730" w:firstLine="440"/>
        <w:rPr>
          <w:rFonts w:hint="eastAsia"/>
          <w:lang w:val="en-CA"/>
        </w:rPr>
      </w:pPr>
      <w:r w:rsidRPr="005005D9">
        <w:rPr>
          <w:rFonts w:hint="eastAsia"/>
          <w:lang w:val="en-CA"/>
        </w:rPr>
        <w:t>华泰保险披露数据显示，其</w:t>
      </w:r>
      <w:r w:rsidRPr="005005D9">
        <w:rPr>
          <w:rFonts w:hint="eastAsia"/>
          <w:lang w:val="en-CA"/>
        </w:rPr>
        <w:t>2013</w:t>
      </w:r>
      <w:r w:rsidRPr="005005D9">
        <w:rPr>
          <w:rFonts w:hint="eastAsia"/>
          <w:lang w:val="en-CA"/>
        </w:rPr>
        <w:t>年</w:t>
      </w:r>
      <w:r w:rsidRPr="005005D9">
        <w:rPr>
          <w:rFonts w:hint="eastAsia"/>
          <w:lang w:val="en-CA"/>
        </w:rPr>
        <w:t>5.3</w:t>
      </w:r>
      <w:r w:rsidRPr="005005D9">
        <w:rPr>
          <w:rFonts w:hint="eastAsia"/>
          <w:lang w:val="en-CA"/>
        </w:rPr>
        <w:t>亿元的净利润同比增速逾</w:t>
      </w:r>
      <w:r w:rsidRPr="005005D9">
        <w:rPr>
          <w:rFonts w:hint="eastAsia"/>
          <w:lang w:val="en-CA"/>
        </w:rPr>
        <w:t>6</w:t>
      </w:r>
      <w:r w:rsidRPr="005005D9">
        <w:rPr>
          <w:rFonts w:hint="eastAsia"/>
          <w:lang w:val="en-CA"/>
        </w:rPr>
        <w:t>成，今年上半年净利润为</w:t>
      </w:r>
      <w:r w:rsidRPr="005005D9">
        <w:rPr>
          <w:rFonts w:hint="eastAsia"/>
          <w:lang w:val="en-CA"/>
        </w:rPr>
        <w:t>0.53</w:t>
      </w:r>
      <w:r w:rsidRPr="005005D9">
        <w:rPr>
          <w:rFonts w:hint="eastAsia"/>
          <w:lang w:val="en-CA"/>
        </w:rPr>
        <w:t>亿元，业绩尚佳。早在</w:t>
      </w:r>
      <w:r w:rsidRPr="005005D9">
        <w:rPr>
          <w:rFonts w:hint="eastAsia"/>
          <w:lang w:val="en-CA"/>
        </w:rPr>
        <w:t>2012</w:t>
      </w:r>
      <w:r w:rsidRPr="005005D9">
        <w:rPr>
          <w:rFonts w:hint="eastAsia"/>
          <w:lang w:val="en-CA"/>
        </w:rPr>
        <w:t>年华泰保险集团董事长王梓木曾表示，集团上市时间已确定为</w:t>
      </w:r>
      <w:r w:rsidRPr="005005D9">
        <w:rPr>
          <w:rFonts w:hint="eastAsia"/>
          <w:lang w:val="en-CA"/>
        </w:rPr>
        <w:t>2014~2015</w:t>
      </w:r>
      <w:r w:rsidRPr="005005D9">
        <w:rPr>
          <w:rFonts w:hint="eastAsia"/>
          <w:lang w:val="en-CA"/>
        </w:rPr>
        <w:t>年。近期华泰保险股权转让是否与上市有关，《中国经营报》向公司进行求证，相关人士回复称：“上述股东出于自身需要对所持有的华泰股权进行了转让。”</w:t>
      </w:r>
    </w:p>
    <w:p w:rsidR="005005D9" w:rsidRDefault="005005D9" w:rsidP="005005D9">
      <w:pPr>
        <w:pStyle w:val="21"/>
        <w:numPr>
          <w:ilvl w:val="0"/>
          <w:numId w:val="9"/>
        </w:numPr>
        <w:spacing w:after="312"/>
        <w:rPr>
          <w:rFonts w:hint="eastAsia"/>
        </w:rPr>
      </w:pPr>
      <w:bookmarkStart w:id="36" w:name="_Toc401583870"/>
      <w:r w:rsidRPr="005005D9">
        <w:t>复星国际收购葡萄牙</w:t>
      </w:r>
      <w:r w:rsidRPr="005005D9">
        <w:t>ESS</w:t>
      </w:r>
      <w:bookmarkEnd w:id="36"/>
    </w:p>
    <w:p w:rsidR="00E409C0" w:rsidRPr="00E53744" w:rsidRDefault="005005D9" w:rsidP="00E53744">
      <w:pPr>
        <w:pStyle w:val="50"/>
        <w:spacing w:after="312" w:line="320" w:lineRule="exact"/>
        <w:ind w:right="2730" w:firstLine="440"/>
        <w:rPr>
          <w:rFonts w:hint="eastAsia"/>
          <w:lang w:val="en-CA"/>
        </w:rPr>
      </w:pPr>
      <w:r w:rsidRPr="00E53744">
        <w:rPr>
          <w:rFonts w:hint="eastAsia"/>
          <w:lang w:val="en-CA"/>
        </w:rPr>
        <w:t>《</w:t>
      </w:r>
      <w:r w:rsidRPr="00E53744">
        <w:rPr>
          <w:lang w:val="en-CA"/>
        </w:rPr>
        <w:t>第一财经</w:t>
      </w:r>
      <w:r w:rsidRPr="00E53744">
        <w:rPr>
          <w:rFonts w:hint="eastAsia"/>
          <w:lang w:val="en-CA"/>
        </w:rPr>
        <w:t>》</w:t>
      </w:r>
      <w:r w:rsidRPr="00E53744">
        <w:rPr>
          <w:rFonts w:hint="eastAsia"/>
          <w:lang w:val="en-CA"/>
        </w:rPr>
        <w:t>16</w:t>
      </w:r>
      <w:r w:rsidRPr="00E53744">
        <w:rPr>
          <w:rFonts w:hint="eastAsia"/>
          <w:lang w:val="en-CA"/>
        </w:rPr>
        <w:t>日</w:t>
      </w:r>
      <w:r w:rsidRPr="00E53744">
        <w:rPr>
          <w:lang w:val="en-CA"/>
        </w:rPr>
        <w:t>从复星国际</w:t>
      </w:r>
      <w:r w:rsidRPr="00E53744">
        <w:rPr>
          <w:lang w:val="en-CA"/>
        </w:rPr>
        <w:t>(00656.HK)</w:t>
      </w:r>
      <w:r w:rsidRPr="00E53744">
        <w:rPr>
          <w:lang w:val="en-CA"/>
        </w:rPr>
        <w:t>获悉，公司旗下的</w:t>
      </w:r>
      <w:r w:rsidRPr="00E53744">
        <w:rPr>
          <w:lang w:val="en-CA"/>
        </w:rPr>
        <w:t>Fidelidade</w:t>
      </w:r>
      <w:r w:rsidRPr="00E53744">
        <w:rPr>
          <w:lang w:val="en-CA"/>
        </w:rPr>
        <w:t>通过竞争性收购投标，以每股</w:t>
      </w:r>
      <w:r w:rsidRPr="00E53744">
        <w:rPr>
          <w:lang w:val="en-CA"/>
        </w:rPr>
        <w:t>5.01</w:t>
      </w:r>
      <w:r w:rsidRPr="00E53744">
        <w:rPr>
          <w:lang w:val="en-CA"/>
        </w:rPr>
        <w:t>欧元、总计</w:t>
      </w:r>
      <w:r w:rsidRPr="00E53744">
        <w:rPr>
          <w:lang w:val="en-CA"/>
        </w:rPr>
        <w:t>4.6</w:t>
      </w:r>
      <w:r w:rsidRPr="00E53744">
        <w:rPr>
          <w:lang w:val="en-CA"/>
        </w:rPr>
        <w:t>亿欧元</w:t>
      </w:r>
      <w:r w:rsidRPr="00E53744">
        <w:rPr>
          <w:lang w:val="en-CA"/>
        </w:rPr>
        <w:t>(</w:t>
      </w:r>
      <w:r w:rsidRPr="00E53744">
        <w:rPr>
          <w:lang w:val="en-CA"/>
        </w:rPr>
        <w:t>约合人民币</w:t>
      </w:r>
      <w:r w:rsidRPr="00E53744">
        <w:rPr>
          <w:lang w:val="en-CA"/>
        </w:rPr>
        <w:t>36.13</w:t>
      </w:r>
      <w:r w:rsidRPr="00E53744">
        <w:rPr>
          <w:lang w:val="en-CA"/>
        </w:rPr>
        <w:t>亿元</w:t>
      </w:r>
      <w:r w:rsidRPr="00E53744">
        <w:rPr>
          <w:lang w:val="en-CA"/>
        </w:rPr>
        <w:t>)</w:t>
      </w:r>
      <w:r w:rsidRPr="00E53744">
        <w:rPr>
          <w:lang w:val="en-CA"/>
        </w:rPr>
        <w:t>的报价，收购葡萄牙医疗保健服务商</w:t>
      </w:r>
      <w:r w:rsidRPr="00E53744">
        <w:rPr>
          <w:lang w:val="en-CA"/>
        </w:rPr>
        <w:t>EspíritoSantoSaúde-SGPS</w:t>
      </w:r>
      <w:r w:rsidRPr="00E53744">
        <w:rPr>
          <w:lang w:val="en-CA"/>
        </w:rPr>
        <w:t>，</w:t>
      </w:r>
      <w:r w:rsidRPr="00E53744">
        <w:rPr>
          <w:lang w:val="en-CA"/>
        </w:rPr>
        <w:t>SA(</w:t>
      </w:r>
      <w:r w:rsidRPr="00E53744">
        <w:rPr>
          <w:lang w:val="en-CA"/>
        </w:rPr>
        <w:t>下称</w:t>
      </w:r>
      <w:r w:rsidRPr="00E53744">
        <w:rPr>
          <w:lang w:val="en-CA"/>
        </w:rPr>
        <w:t>“ESS”)96.07%</w:t>
      </w:r>
      <w:r w:rsidRPr="00E53744">
        <w:rPr>
          <w:lang w:val="en-CA"/>
        </w:rPr>
        <w:t>的股权。此次收购的完成，代表着复星深化</w:t>
      </w:r>
      <w:r w:rsidRPr="00E53744">
        <w:rPr>
          <w:lang w:val="en-CA"/>
        </w:rPr>
        <w:t>“</w:t>
      </w:r>
      <w:r w:rsidRPr="00E53744">
        <w:rPr>
          <w:lang w:val="en-CA"/>
        </w:rPr>
        <w:t>保险</w:t>
      </w:r>
      <w:r w:rsidRPr="00E53744">
        <w:rPr>
          <w:lang w:val="en-CA"/>
        </w:rPr>
        <w:t>+</w:t>
      </w:r>
      <w:r w:rsidRPr="00E53744">
        <w:rPr>
          <w:lang w:val="en-CA"/>
        </w:rPr>
        <w:t>投资</w:t>
      </w:r>
      <w:r w:rsidRPr="00E53744">
        <w:rPr>
          <w:lang w:val="en-CA"/>
        </w:rPr>
        <w:t>”</w:t>
      </w:r>
      <w:r w:rsidRPr="00E53744">
        <w:rPr>
          <w:lang w:val="en-CA"/>
        </w:rPr>
        <w:t>战略的又一个案例落地</w:t>
      </w:r>
      <w:r w:rsidR="00E409C0" w:rsidRPr="00E53744">
        <w:rPr>
          <w:rFonts w:hint="eastAsia"/>
          <w:lang w:val="en-CA"/>
        </w:rPr>
        <w:t>。</w:t>
      </w:r>
      <w:r w:rsidRPr="00E53744">
        <w:rPr>
          <w:lang w:val="en-CA"/>
        </w:rPr>
        <w:t>值得注意的是，此次出面收购</w:t>
      </w:r>
      <w:r w:rsidRPr="00E53744">
        <w:rPr>
          <w:lang w:val="en-CA"/>
        </w:rPr>
        <w:t>ESS</w:t>
      </w:r>
      <w:r w:rsidRPr="00E53744">
        <w:rPr>
          <w:lang w:val="en-CA"/>
        </w:rPr>
        <w:t>股权的</w:t>
      </w:r>
      <w:r w:rsidRPr="00E53744">
        <w:rPr>
          <w:lang w:val="en-CA"/>
        </w:rPr>
        <w:t>Fidelidade</w:t>
      </w:r>
      <w:r w:rsidRPr="00E53744">
        <w:rPr>
          <w:lang w:val="en-CA"/>
        </w:rPr>
        <w:t>，是葡萄牙的寿险及非寿险公司，今年上半年刚被复星收购。</w:t>
      </w:r>
    </w:p>
    <w:p w:rsidR="005005D9" w:rsidRPr="00E53744" w:rsidRDefault="00E409C0" w:rsidP="00E53744">
      <w:pPr>
        <w:pStyle w:val="50"/>
        <w:spacing w:after="312" w:line="320" w:lineRule="exact"/>
        <w:ind w:right="2730" w:firstLine="440"/>
        <w:rPr>
          <w:rFonts w:hint="eastAsia"/>
          <w:lang w:val="en-CA"/>
        </w:rPr>
      </w:pPr>
      <w:r w:rsidRPr="00E53744">
        <w:rPr>
          <w:lang w:val="en-CA"/>
        </w:rPr>
        <w:t>复星集团副董事长兼首席执行官梁信军透露，复星今后的重点投资方向是希望多投资消费和消费升级、能源和资源以及金融服务领域，而保险业正是金融服务领域的重要组成部分，公司会寻找机会加大对保险、银行等金融板块的投资，以获得更低的融资成本，长期目标是推动复星向以保险为核心的拥有综合金融能力的投资集团转型，并大力发展资产管理业务。</w:t>
      </w:r>
    </w:p>
    <w:p w:rsidR="00A32896" w:rsidRPr="00A32896" w:rsidRDefault="00A32896" w:rsidP="00A32896">
      <w:pPr>
        <w:pStyle w:val="21"/>
        <w:numPr>
          <w:ilvl w:val="0"/>
          <w:numId w:val="9"/>
        </w:numPr>
        <w:spacing w:after="312"/>
      </w:pPr>
      <w:bookmarkStart w:id="37" w:name="_Toc401583871"/>
      <w:r w:rsidRPr="00A32896">
        <w:rPr>
          <w:rFonts w:hint="eastAsia"/>
        </w:rPr>
        <w:t>安邦收购比利时保险公司</w:t>
      </w:r>
      <w:r w:rsidRPr="00A32896">
        <w:rPr>
          <w:rFonts w:hint="eastAsia"/>
        </w:rPr>
        <w:t>FIDEA</w:t>
      </w:r>
      <w:bookmarkEnd w:id="37"/>
    </w:p>
    <w:p w:rsidR="00A32896" w:rsidRPr="00E53744" w:rsidRDefault="00A32896" w:rsidP="00E53744">
      <w:pPr>
        <w:pStyle w:val="50"/>
        <w:spacing w:after="312" w:line="320" w:lineRule="exact"/>
        <w:ind w:right="2730" w:firstLine="440"/>
        <w:rPr>
          <w:rFonts w:hint="eastAsia"/>
          <w:lang w:val="en-CA"/>
        </w:rPr>
      </w:pPr>
      <w:r w:rsidRPr="00E53744">
        <w:rPr>
          <w:rFonts w:hint="eastAsia"/>
          <w:lang w:val="en-CA"/>
        </w:rPr>
        <w:t>10</w:t>
      </w:r>
      <w:r w:rsidRPr="00E53744">
        <w:rPr>
          <w:rFonts w:hint="eastAsia"/>
          <w:lang w:val="en-CA"/>
        </w:rPr>
        <w:t>月</w:t>
      </w:r>
      <w:r w:rsidRPr="00E53744">
        <w:rPr>
          <w:rFonts w:hint="eastAsia"/>
          <w:lang w:val="en-CA"/>
        </w:rPr>
        <w:t>13</w:t>
      </w:r>
      <w:r w:rsidRPr="00E53744">
        <w:rPr>
          <w:rFonts w:hint="eastAsia"/>
          <w:lang w:val="en-CA"/>
        </w:rPr>
        <w:t>日，安邦保险宣布收购比利时</w:t>
      </w:r>
      <w:r w:rsidRPr="00E53744">
        <w:rPr>
          <w:rFonts w:hint="eastAsia"/>
          <w:lang w:val="en-CA"/>
        </w:rPr>
        <w:t>FIDEA</w:t>
      </w:r>
      <w:r w:rsidRPr="00E53744">
        <w:rPr>
          <w:rFonts w:hint="eastAsia"/>
          <w:lang w:val="en-CA"/>
        </w:rPr>
        <w:t>保险公司，这是中国保险企业首次</w:t>
      </w:r>
      <w:r w:rsidRPr="00E53744">
        <w:rPr>
          <w:rFonts w:hint="eastAsia"/>
          <w:lang w:val="en-CA"/>
        </w:rPr>
        <w:t>100%</w:t>
      </w:r>
      <w:r w:rsidRPr="00E53744">
        <w:rPr>
          <w:rFonts w:hint="eastAsia"/>
          <w:lang w:val="en-CA"/>
        </w:rPr>
        <w:t>股权收购欧洲保险公司。</w:t>
      </w:r>
      <w:r w:rsidRPr="00E53744">
        <w:rPr>
          <w:rFonts w:hint="eastAsia"/>
          <w:lang w:val="en-CA"/>
        </w:rPr>
        <w:t>FIDEA</w:t>
      </w:r>
      <w:r w:rsidRPr="00E53744">
        <w:rPr>
          <w:rFonts w:hint="eastAsia"/>
          <w:lang w:val="en-CA"/>
        </w:rPr>
        <w:t>保险公司是比利时保险市场的知名品牌，拥有一百多年的经营历史，通过多元化分销渠道向个人客户和公司客</w:t>
      </w:r>
      <w:r w:rsidRPr="00E53744">
        <w:rPr>
          <w:rFonts w:hint="eastAsia"/>
          <w:lang w:val="en-CA"/>
        </w:rPr>
        <w:lastRenderedPageBreak/>
        <w:t>户提供综合性保险服务。</w:t>
      </w:r>
      <w:r w:rsidRPr="00E53744">
        <w:rPr>
          <w:rFonts w:hint="eastAsia"/>
          <w:lang w:val="en-CA"/>
        </w:rPr>
        <w:t>FIDEA</w:t>
      </w:r>
      <w:r w:rsidRPr="00E53744">
        <w:rPr>
          <w:rFonts w:hint="eastAsia"/>
          <w:lang w:val="en-CA"/>
        </w:rPr>
        <w:t>保险公司拥有全面的网络、丰富的产品线、完善的风控体系，以及专业的产品设计能力。</w:t>
      </w:r>
      <w:r w:rsidRPr="00E53744">
        <w:rPr>
          <w:rFonts w:hint="eastAsia"/>
          <w:lang w:val="en-CA"/>
        </w:rPr>
        <w:t>FIDEA</w:t>
      </w:r>
      <w:r w:rsidRPr="00E53744">
        <w:rPr>
          <w:rFonts w:hint="eastAsia"/>
          <w:lang w:val="en-CA"/>
        </w:rPr>
        <w:t>保险公司长期以来保持充足的偿付能力。</w:t>
      </w:r>
    </w:p>
    <w:p w:rsidR="00A32896" w:rsidRPr="00A32896" w:rsidRDefault="00F93FCB" w:rsidP="00A32896">
      <w:pPr>
        <w:pStyle w:val="21"/>
        <w:numPr>
          <w:ilvl w:val="0"/>
          <w:numId w:val="9"/>
        </w:numPr>
        <w:spacing w:after="312"/>
        <w:rPr>
          <w:rFonts w:hint="eastAsia"/>
        </w:rPr>
      </w:pPr>
      <w:bookmarkStart w:id="38" w:name="_Toc401583872"/>
      <w:r>
        <w:rPr>
          <w:rFonts w:hint="eastAsia"/>
        </w:rPr>
        <w:t>太保</w:t>
      </w:r>
      <w:r w:rsidR="00C16C26">
        <w:rPr>
          <w:rFonts w:hint="eastAsia"/>
        </w:rPr>
        <w:t>首批养老产业策略</w:t>
      </w:r>
      <w:bookmarkEnd w:id="38"/>
    </w:p>
    <w:p w:rsidR="00C16C26" w:rsidRPr="005C66A3" w:rsidRDefault="00C16C26" w:rsidP="005C66A3">
      <w:pPr>
        <w:pStyle w:val="50"/>
        <w:spacing w:after="312" w:line="320" w:lineRule="exact"/>
        <w:ind w:right="2730" w:firstLine="440"/>
        <w:rPr>
          <w:lang w:val="en-CA"/>
        </w:rPr>
      </w:pPr>
      <w:r w:rsidRPr="005C66A3">
        <w:rPr>
          <w:lang w:val="en-CA"/>
        </w:rPr>
        <w:t>10</w:t>
      </w:r>
      <w:r w:rsidRPr="005C66A3">
        <w:rPr>
          <w:lang w:val="en-CA"/>
        </w:rPr>
        <w:t>月</w:t>
      </w:r>
      <w:r w:rsidRPr="005C66A3">
        <w:rPr>
          <w:lang w:val="en-CA"/>
        </w:rPr>
        <w:t>15</w:t>
      </w:r>
      <w:r w:rsidRPr="005C66A3">
        <w:rPr>
          <w:lang w:val="en-CA"/>
        </w:rPr>
        <w:t>日，太平洋保险养老产业投资管理有限责任公司执行董事兼总经理郑韫瑜接受</w:t>
      </w:r>
      <w:r w:rsidRPr="005C66A3">
        <w:rPr>
          <w:lang w:val="en-CA"/>
        </w:rPr>
        <w:t>21</w:t>
      </w:r>
      <w:r w:rsidRPr="005C66A3">
        <w:rPr>
          <w:lang w:val="en-CA"/>
        </w:rPr>
        <w:t>世纪经济报道采访时表示，未来</w:t>
      </w:r>
      <w:r w:rsidRPr="005C66A3">
        <w:rPr>
          <w:lang w:val="en-CA"/>
        </w:rPr>
        <w:t>5</w:t>
      </w:r>
      <w:r w:rsidRPr="005C66A3">
        <w:rPr>
          <w:lang w:val="en-CA"/>
        </w:rPr>
        <w:t>年，太保养老投资公司计划受托太平洋保险系统内的保险资金，投入约</w:t>
      </w:r>
      <w:r w:rsidRPr="005C66A3">
        <w:rPr>
          <w:lang w:val="en-CA"/>
        </w:rPr>
        <w:t xml:space="preserve"> 30-40</w:t>
      </w:r>
      <w:r w:rsidRPr="005C66A3">
        <w:rPr>
          <w:lang w:val="en-CA"/>
        </w:rPr>
        <w:t>亿元，通过兴建、改建、租赁等方式建设</w:t>
      </w:r>
      <w:r w:rsidRPr="005C66A3">
        <w:rPr>
          <w:lang w:val="en-CA"/>
        </w:rPr>
        <w:t>10-20</w:t>
      </w:r>
      <w:r w:rsidRPr="005C66A3">
        <w:rPr>
          <w:lang w:val="en-CA"/>
        </w:rPr>
        <w:t>家养老院区，</w:t>
      </w:r>
      <w:r w:rsidRPr="005C66A3">
        <w:rPr>
          <w:lang w:val="en-CA"/>
        </w:rPr>
        <w:t>2000-6000</w:t>
      </w:r>
      <w:r w:rsidRPr="005C66A3">
        <w:rPr>
          <w:lang w:val="en-CA"/>
        </w:rPr>
        <w:t>张床位。首个项目将于</w:t>
      </w:r>
      <w:r w:rsidRPr="005C66A3">
        <w:rPr>
          <w:lang w:val="en-CA"/>
        </w:rPr>
        <w:t>2015</w:t>
      </w:r>
      <w:r w:rsidRPr="005C66A3">
        <w:rPr>
          <w:lang w:val="en-CA"/>
        </w:rPr>
        <w:t>年初正式动工。</w:t>
      </w:r>
    </w:p>
    <w:p w:rsidR="00FA482B" w:rsidRPr="005C66A3" w:rsidRDefault="00C16C26" w:rsidP="005C66A3">
      <w:pPr>
        <w:pStyle w:val="50"/>
        <w:spacing w:after="312" w:line="320" w:lineRule="exact"/>
        <w:ind w:right="2730" w:firstLine="440"/>
        <w:rPr>
          <w:lang w:val="en-CA"/>
        </w:rPr>
      </w:pPr>
      <w:r w:rsidRPr="005C66A3">
        <w:rPr>
          <w:lang w:val="en-CA"/>
        </w:rPr>
        <w:t>有别于市场和行业现行的大资金、重资产、大建养老社区的高举高打模式，太保的差异化策略包括，选址市中心、轻资产、小规模、快速复制，以收购和租用城市中心城区现有物业并改建成养老设施为主，同时辅以大型养老社区投资和服务的模式。</w:t>
      </w:r>
    </w:p>
    <w:p w:rsidR="00C16C26" w:rsidRPr="00C16C26" w:rsidRDefault="00FA482B" w:rsidP="00FA482B">
      <w:pPr>
        <w:pStyle w:val="40"/>
        <w:spacing w:after="312"/>
        <w:ind w:right="2730" w:firstLine="440"/>
      </w:pPr>
      <w:r>
        <w:br w:type="page"/>
      </w:r>
    </w:p>
    <w:p w:rsidR="000632C0" w:rsidRDefault="000632C0" w:rsidP="00785A2B">
      <w:pPr>
        <w:pStyle w:val="11"/>
        <w:spacing w:after="312"/>
      </w:pPr>
      <w:bookmarkStart w:id="39" w:name="_Toc392054535"/>
      <w:bookmarkStart w:id="40" w:name="_Toc397434613"/>
      <w:bookmarkStart w:id="41" w:name="_Toc398648832"/>
      <w:bookmarkStart w:id="42" w:name="_Toc401583873"/>
      <w:r>
        <w:rPr>
          <w:rFonts w:hint="eastAsia"/>
        </w:rPr>
        <w:lastRenderedPageBreak/>
        <w:t>四</w:t>
      </w:r>
      <w:r w:rsidRPr="00C27076">
        <w:rPr>
          <w:rFonts w:hint="eastAsia"/>
        </w:rPr>
        <w:t>、</w:t>
      </w:r>
      <w:bookmarkEnd w:id="39"/>
      <w:bookmarkEnd w:id="40"/>
      <w:bookmarkEnd w:id="41"/>
      <w:r w:rsidR="00722CB1">
        <w:rPr>
          <w:rFonts w:hint="eastAsia"/>
        </w:rPr>
        <w:t>公司数据</w:t>
      </w:r>
      <w:bookmarkEnd w:id="42"/>
    </w:p>
    <w:tbl>
      <w:tblPr>
        <w:tblW w:w="10314" w:type="dxa"/>
        <w:tblBorders>
          <w:top w:val="single" w:sz="4" w:space="0" w:color="auto"/>
          <w:bottom w:val="single" w:sz="4" w:space="0" w:color="auto"/>
          <w:insideH w:val="single" w:sz="4" w:space="0" w:color="auto"/>
          <w:insideV w:val="single" w:sz="4" w:space="0" w:color="auto"/>
        </w:tblBorders>
        <w:tblLayout w:type="fixed"/>
        <w:tblLook w:val="0000"/>
      </w:tblPr>
      <w:tblGrid>
        <w:gridCol w:w="5211"/>
        <w:gridCol w:w="5103"/>
      </w:tblGrid>
      <w:tr w:rsidR="00CC4934" w:rsidRPr="009A3F94" w:rsidTr="004D5810">
        <w:tc>
          <w:tcPr>
            <w:tcW w:w="5211" w:type="dxa"/>
            <w:tcBorders>
              <w:top w:val="nil"/>
              <w:bottom w:val="nil"/>
              <w:right w:val="nil"/>
              <w:tl2br w:val="nil"/>
              <w:tr2bl w:val="nil"/>
            </w:tcBorders>
            <w:vAlign w:val="center"/>
          </w:tcPr>
          <w:p w:rsidR="00CC4934" w:rsidRPr="00975F62" w:rsidRDefault="00CC4934" w:rsidP="00CC4934">
            <w:pPr>
              <w:pStyle w:val="60"/>
              <w:spacing w:before="312"/>
              <w:ind w:leftChars="4" w:left="724" w:hangingChars="396" w:hanging="716"/>
              <w:rPr>
                <w:rFonts w:ascii="楷体_GB2312"/>
              </w:rPr>
            </w:pPr>
            <w:bookmarkStart w:id="43" w:name="_Toc400957557"/>
            <w:bookmarkStart w:id="44" w:name="_Toc401583884"/>
            <w:r w:rsidRPr="00975F62">
              <w:rPr>
                <w:rFonts w:ascii="楷体_GB2312" w:hint="eastAsia"/>
              </w:rPr>
              <w:t>图表</w:t>
            </w:r>
            <w:r>
              <w:rPr>
                <w:rFonts w:ascii="楷体_GB2312" w:hint="eastAsia"/>
              </w:rPr>
              <w:t>5</w:t>
            </w:r>
            <w:r w:rsidRPr="00975F62">
              <w:rPr>
                <w:rFonts w:ascii="楷体_GB2312" w:hint="eastAsia"/>
              </w:rPr>
              <w:t>：</w:t>
            </w:r>
            <w:r>
              <w:rPr>
                <w:rFonts w:ascii="楷体_GB2312" w:hint="eastAsia"/>
              </w:rPr>
              <w:t>中国人寿单月保费同比增速</w:t>
            </w:r>
            <w:bookmarkEnd w:id="43"/>
            <w:bookmarkEnd w:id="44"/>
          </w:p>
        </w:tc>
        <w:tc>
          <w:tcPr>
            <w:tcW w:w="5103" w:type="dxa"/>
            <w:tcBorders>
              <w:top w:val="nil"/>
              <w:left w:val="nil"/>
              <w:bottom w:val="nil"/>
              <w:tl2br w:val="nil"/>
              <w:tr2bl w:val="nil"/>
            </w:tcBorders>
            <w:vAlign w:val="center"/>
          </w:tcPr>
          <w:p w:rsidR="00CC4934" w:rsidRPr="00975F62" w:rsidRDefault="00CC4934" w:rsidP="00CC4934">
            <w:pPr>
              <w:pStyle w:val="60"/>
              <w:spacing w:before="312"/>
              <w:ind w:leftChars="4" w:left="348" w:hangingChars="188" w:hanging="340"/>
              <w:rPr>
                <w:rFonts w:ascii="楷体_GB2312"/>
              </w:rPr>
            </w:pPr>
            <w:bookmarkStart w:id="45" w:name="_Toc400957558"/>
            <w:bookmarkStart w:id="46" w:name="_Toc401583885"/>
            <w:r w:rsidRPr="00975F62">
              <w:rPr>
                <w:rFonts w:ascii="楷体_GB2312" w:hint="eastAsia"/>
              </w:rPr>
              <w:t>图表</w:t>
            </w:r>
            <w:r>
              <w:rPr>
                <w:rFonts w:ascii="楷体_GB2312" w:hint="eastAsia"/>
              </w:rPr>
              <w:t>6</w:t>
            </w:r>
            <w:r w:rsidRPr="00975F62">
              <w:rPr>
                <w:rFonts w:ascii="楷体_GB2312" w:hint="eastAsia"/>
              </w:rPr>
              <w:t>：</w:t>
            </w:r>
            <w:r>
              <w:rPr>
                <w:rFonts w:ascii="楷体_GB2312" w:hint="eastAsia"/>
              </w:rPr>
              <w:t>平安人寿单月保费同比增速</w:t>
            </w:r>
            <w:bookmarkEnd w:id="45"/>
            <w:bookmarkEnd w:id="46"/>
          </w:p>
        </w:tc>
      </w:tr>
      <w:tr w:rsidR="00CC4934" w:rsidTr="004D5810">
        <w:tc>
          <w:tcPr>
            <w:tcW w:w="5211" w:type="dxa"/>
            <w:tcBorders>
              <w:top w:val="nil"/>
              <w:bottom w:val="nil"/>
              <w:right w:val="nil"/>
              <w:tl2br w:val="nil"/>
              <w:tr2bl w:val="nil"/>
            </w:tcBorders>
            <w:vAlign w:val="center"/>
          </w:tcPr>
          <w:p w:rsidR="00CC4934" w:rsidRPr="00F82369" w:rsidRDefault="003653EE" w:rsidP="004D5810">
            <w:pPr>
              <w:pStyle w:val="22"/>
              <w:pBdr>
                <w:top w:val="single" w:sz="4" w:space="1" w:color="auto"/>
                <w:bottom w:val="single" w:sz="4" w:space="1" w:color="auto"/>
              </w:pBdr>
              <w:ind w:leftChars="0" w:left="0"/>
              <w:rPr>
                <w:noProof/>
              </w:rPr>
            </w:pPr>
            <w:r w:rsidRPr="003653EE">
              <w:rPr>
                <w:noProof/>
              </w:rPr>
              <w:drawing>
                <wp:inline distT="0" distB="0" distL="0" distR="0">
                  <wp:extent cx="3174797" cy="2136039"/>
                  <wp:effectExtent l="0" t="0" r="0" b="0"/>
                  <wp:docPr id="1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103" w:type="dxa"/>
            <w:tcBorders>
              <w:top w:val="nil"/>
              <w:left w:val="nil"/>
              <w:bottom w:val="nil"/>
              <w:tl2br w:val="nil"/>
              <w:tr2bl w:val="nil"/>
            </w:tcBorders>
          </w:tcPr>
          <w:p w:rsidR="00CC4934" w:rsidRPr="00F82369" w:rsidRDefault="003653EE" w:rsidP="004D5810">
            <w:pPr>
              <w:pStyle w:val="22"/>
              <w:keepNext/>
              <w:pBdr>
                <w:top w:val="single" w:sz="4" w:space="1" w:color="auto"/>
                <w:bottom w:val="single" w:sz="4" w:space="1" w:color="auto"/>
              </w:pBdr>
              <w:ind w:leftChars="0" w:left="0"/>
              <w:rPr>
                <w:noProof/>
              </w:rPr>
            </w:pPr>
            <w:r w:rsidRPr="003653EE">
              <w:rPr>
                <w:noProof/>
              </w:rPr>
              <w:drawing>
                <wp:inline distT="0" distB="0" distL="0" distR="0">
                  <wp:extent cx="3116275" cy="2106778"/>
                  <wp:effectExtent l="0" t="0" r="0" b="0"/>
                  <wp:docPr id="2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CC4934" w:rsidRDefault="00CC4934" w:rsidP="00CC4934">
      <w:pPr>
        <w:pStyle w:val="90"/>
        <w:spacing w:after="312"/>
      </w:pPr>
      <w:r w:rsidRPr="00624AD5">
        <w:rPr>
          <w:rFonts w:hint="eastAsia"/>
        </w:rPr>
        <w:t>数据来源：</w:t>
      </w:r>
      <w:r>
        <w:rPr>
          <w:rFonts w:hint="eastAsia"/>
        </w:rPr>
        <w:t>WIND</w:t>
      </w:r>
      <w:r w:rsidRPr="00624AD5">
        <w:rPr>
          <w:rFonts w:hint="eastAsia"/>
        </w:rPr>
        <w:t>，华融证券整理</w:t>
      </w:r>
      <w:r>
        <w:rPr>
          <w:rFonts w:hint="eastAsia"/>
        </w:rPr>
        <w:t xml:space="preserve"> </w:t>
      </w:r>
      <w:r w:rsidRPr="00624AD5">
        <w:rPr>
          <w:rFonts w:hint="eastAsia"/>
        </w:rPr>
        <w:t xml:space="preserve">     </w:t>
      </w:r>
      <w:r>
        <w:rPr>
          <w:rFonts w:hint="eastAsia"/>
        </w:rPr>
        <w:t xml:space="preserve">                              </w:t>
      </w:r>
      <w:r w:rsidRPr="00624AD5">
        <w:rPr>
          <w:rFonts w:hint="eastAsia"/>
        </w:rPr>
        <w:t>数据来源：</w:t>
      </w:r>
      <w:r>
        <w:rPr>
          <w:rFonts w:hint="eastAsia"/>
        </w:rPr>
        <w:t>WIND</w:t>
      </w:r>
      <w:r w:rsidRPr="00624AD5">
        <w:rPr>
          <w:rFonts w:hint="eastAsia"/>
        </w:rPr>
        <w:t>，华融证券整理</w:t>
      </w:r>
    </w:p>
    <w:tbl>
      <w:tblPr>
        <w:tblW w:w="10314" w:type="dxa"/>
        <w:tblBorders>
          <w:top w:val="single" w:sz="4" w:space="0" w:color="auto"/>
          <w:bottom w:val="single" w:sz="4" w:space="0" w:color="auto"/>
          <w:insideH w:val="single" w:sz="4" w:space="0" w:color="auto"/>
          <w:insideV w:val="single" w:sz="4" w:space="0" w:color="auto"/>
        </w:tblBorders>
        <w:tblLayout w:type="fixed"/>
        <w:tblLook w:val="0000"/>
      </w:tblPr>
      <w:tblGrid>
        <w:gridCol w:w="5211"/>
        <w:gridCol w:w="5103"/>
      </w:tblGrid>
      <w:tr w:rsidR="00CC4934" w:rsidRPr="009A3F94" w:rsidTr="004D5810">
        <w:tc>
          <w:tcPr>
            <w:tcW w:w="5211" w:type="dxa"/>
            <w:tcBorders>
              <w:top w:val="nil"/>
              <w:bottom w:val="nil"/>
              <w:right w:val="nil"/>
              <w:tl2br w:val="nil"/>
              <w:tr2bl w:val="nil"/>
            </w:tcBorders>
            <w:vAlign w:val="center"/>
          </w:tcPr>
          <w:p w:rsidR="00CC4934" w:rsidRPr="00122A4A" w:rsidRDefault="00CC4934" w:rsidP="00CC4934">
            <w:pPr>
              <w:pStyle w:val="60"/>
              <w:spacing w:before="312"/>
              <w:ind w:left="716" w:hangingChars="396" w:hanging="716"/>
              <w:rPr>
                <w:rFonts w:ascii="楷体_GB2312"/>
                <w:sz w:val="22"/>
                <w:szCs w:val="22"/>
              </w:rPr>
            </w:pPr>
            <w:bookmarkStart w:id="47" w:name="_Toc400957559"/>
            <w:bookmarkStart w:id="48" w:name="_Toc401583886"/>
            <w:r w:rsidRPr="00975F62">
              <w:rPr>
                <w:rFonts w:ascii="楷体_GB2312" w:hint="eastAsia"/>
              </w:rPr>
              <w:t>图表</w:t>
            </w:r>
            <w:r>
              <w:rPr>
                <w:rFonts w:ascii="楷体_GB2312" w:hint="eastAsia"/>
              </w:rPr>
              <w:t>7</w:t>
            </w:r>
            <w:r w:rsidRPr="00975F62">
              <w:rPr>
                <w:rFonts w:ascii="楷体_GB2312" w:hint="eastAsia"/>
              </w:rPr>
              <w:t>：</w:t>
            </w:r>
            <w:r>
              <w:rPr>
                <w:rFonts w:ascii="楷体_GB2312" w:hint="eastAsia"/>
              </w:rPr>
              <w:t>太保人寿单月保费同比增速</w:t>
            </w:r>
            <w:bookmarkEnd w:id="47"/>
            <w:bookmarkEnd w:id="48"/>
          </w:p>
        </w:tc>
        <w:tc>
          <w:tcPr>
            <w:tcW w:w="5103" w:type="dxa"/>
            <w:tcBorders>
              <w:top w:val="nil"/>
              <w:left w:val="nil"/>
              <w:bottom w:val="nil"/>
              <w:tl2br w:val="nil"/>
              <w:tr2bl w:val="nil"/>
            </w:tcBorders>
            <w:vAlign w:val="center"/>
          </w:tcPr>
          <w:p w:rsidR="00CC4934" w:rsidRPr="00122A4A" w:rsidRDefault="00CC4934" w:rsidP="00CC4934">
            <w:pPr>
              <w:pStyle w:val="60"/>
              <w:spacing w:before="312"/>
              <w:ind w:leftChars="4" w:left="348" w:hangingChars="188" w:hanging="340"/>
              <w:rPr>
                <w:rFonts w:ascii="楷体_GB2312"/>
                <w:sz w:val="22"/>
                <w:szCs w:val="22"/>
              </w:rPr>
            </w:pPr>
            <w:bookmarkStart w:id="49" w:name="_Toc400957560"/>
            <w:bookmarkStart w:id="50" w:name="_Toc401583887"/>
            <w:r w:rsidRPr="00975F62">
              <w:rPr>
                <w:rFonts w:ascii="楷体_GB2312" w:hint="eastAsia"/>
              </w:rPr>
              <w:t>图表</w:t>
            </w:r>
            <w:r>
              <w:rPr>
                <w:rFonts w:ascii="楷体_GB2312" w:hint="eastAsia"/>
              </w:rPr>
              <w:t>8</w:t>
            </w:r>
            <w:r w:rsidRPr="00975F62">
              <w:rPr>
                <w:rFonts w:ascii="楷体_GB2312" w:hint="eastAsia"/>
              </w:rPr>
              <w:t>：</w:t>
            </w:r>
            <w:r>
              <w:rPr>
                <w:rFonts w:ascii="楷体_GB2312" w:hint="eastAsia"/>
              </w:rPr>
              <w:t>新华人寿单月保费同比增速</w:t>
            </w:r>
            <w:bookmarkEnd w:id="49"/>
            <w:bookmarkEnd w:id="50"/>
          </w:p>
        </w:tc>
      </w:tr>
      <w:tr w:rsidR="00CC4934" w:rsidTr="004D5810">
        <w:tc>
          <w:tcPr>
            <w:tcW w:w="5211" w:type="dxa"/>
            <w:tcBorders>
              <w:top w:val="nil"/>
              <w:bottom w:val="nil"/>
              <w:right w:val="nil"/>
              <w:tl2br w:val="nil"/>
              <w:tr2bl w:val="nil"/>
            </w:tcBorders>
            <w:vAlign w:val="center"/>
          </w:tcPr>
          <w:p w:rsidR="00CC4934" w:rsidRPr="00286C0D" w:rsidRDefault="003653EE" w:rsidP="004D5810">
            <w:pPr>
              <w:pStyle w:val="22"/>
              <w:pBdr>
                <w:top w:val="single" w:sz="4" w:space="1" w:color="auto"/>
                <w:bottom w:val="single" w:sz="4" w:space="1" w:color="auto"/>
              </w:pBdr>
              <w:ind w:leftChars="0" w:left="0"/>
              <w:rPr>
                <w:noProof/>
              </w:rPr>
            </w:pPr>
            <w:r w:rsidRPr="003653EE">
              <w:rPr>
                <w:noProof/>
              </w:rPr>
              <w:drawing>
                <wp:inline distT="0" distB="0" distL="0" distR="0">
                  <wp:extent cx="3196742" cy="2136039"/>
                  <wp:effectExtent l="0" t="0" r="0" b="0"/>
                  <wp:docPr id="2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103" w:type="dxa"/>
            <w:tcBorders>
              <w:top w:val="nil"/>
              <w:left w:val="nil"/>
              <w:bottom w:val="nil"/>
              <w:tl2br w:val="nil"/>
              <w:tr2bl w:val="nil"/>
            </w:tcBorders>
          </w:tcPr>
          <w:p w:rsidR="00CC4934" w:rsidRPr="00F82369" w:rsidRDefault="003653EE" w:rsidP="004D5810">
            <w:pPr>
              <w:pStyle w:val="22"/>
              <w:keepNext/>
              <w:pBdr>
                <w:top w:val="single" w:sz="4" w:space="1" w:color="auto"/>
                <w:bottom w:val="single" w:sz="4" w:space="1" w:color="auto"/>
              </w:pBdr>
              <w:ind w:leftChars="0" w:left="0"/>
              <w:rPr>
                <w:noProof/>
              </w:rPr>
            </w:pPr>
            <w:r w:rsidRPr="003653EE">
              <w:rPr>
                <w:noProof/>
              </w:rPr>
              <w:drawing>
                <wp:inline distT="0" distB="0" distL="0" distR="0">
                  <wp:extent cx="3116275" cy="2106778"/>
                  <wp:effectExtent l="0" t="0" r="0" b="0"/>
                  <wp:docPr id="2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CC4934" w:rsidRPr="00C66F22" w:rsidRDefault="00CC4934" w:rsidP="00CC4934">
      <w:pPr>
        <w:pStyle w:val="90"/>
        <w:spacing w:after="312"/>
      </w:pPr>
      <w:r w:rsidRPr="00624AD5">
        <w:rPr>
          <w:rFonts w:hint="eastAsia"/>
        </w:rPr>
        <w:t>数据来源：</w:t>
      </w:r>
      <w:r>
        <w:rPr>
          <w:rFonts w:hint="eastAsia"/>
        </w:rPr>
        <w:t>WIND</w:t>
      </w:r>
      <w:r w:rsidRPr="00624AD5">
        <w:rPr>
          <w:rFonts w:hint="eastAsia"/>
        </w:rPr>
        <w:t>，华融证券整理</w:t>
      </w:r>
      <w:r>
        <w:rPr>
          <w:rFonts w:hint="eastAsia"/>
        </w:rPr>
        <w:t xml:space="preserve">                                    </w:t>
      </w:r>
      <w:r w:rsidRPr="00624AD5">
        <w:rPr>
          <w:rFonts w:hint="eastAsia"/>
        </w:rPr>
        <w:t>数据来源：</w:t>
      </w:r>
      <w:r>
        <w:rPr>
          <w:rFonts w:hint="eastAsia"/>
        </w:rPr>
        <w:t>WIND</w:t>
      </w:r>
      <w:r w:rsidRPr="00624AD5">
        <w:rPr>
          <w:rFonts w:hint="eastAsia"/>
        </w:rPr>
        <w:t>，华融证券整理</w:t>
      </w:r>
    </w:p>
    <w:p w:rsidR="00CC4934" w:rsidRPr="00FA482B" w:rsidRDefault="00FA482B" w:rsidP="00FA482B">
      <w:pPr>
        <w:widowControl/>
        <w:jc w:val="left"/>
        <w:rPr>
          <w:rFonts w:ascii="Arial" w:eastAsia="楷体_GB2312" w:hAnsi="Arial"/>
          <w:color w:val="000000"/>
          <w:sz w:val="22"/>
          <w:szCs w:val="22"/>
        </w:rPr>
      </w:pPr>
      <w:r>
        <w:br w:type="page"/>
      </w:r>
    </w:p>
    <w:p w:rsidR="000632C0" w:rsidRDefault="000632C0" w:rsidP="00785A2B">
      <w:pPr>
        <w:pStyle w:val="11"/>
        <w:spacing w:after="312"/>
      </w:pPr>
      <w:bookmarkStart w:id="51" w:name="_Toc398648833"/>
      <w:bookmarkStart w:id="52" w:name="_Toc401583874"/>
      <w:r>
        <w:rPr>
          <w:rFonts w:hint="eastAsia"/>
        </w:rPr>
        <w:lastRenderedPageBreak/>
        <w:t>五、</w:t>
      </w:r>
      <w:bookmarkEnd w:id="51"/>
      <w:r w:rsidR="00985878">
        <w:rPr>
          <w:rFonts w:hint="eastAsia"/>
        </w:rPr>
        <w:t>行情回顾</w:t>
      </w:r>
      <w:bookmarkEnd w:id="52"/>
    </w:p>
    <w:p w:rsidR="00985878" w:rsidRDefault="00985878" w:rsidP="00985878">
      <w:pPr>
        <w:pStyle w:val="50"/>
        <w:spacing w:after="312"/>
        <w:ind w:right="2730" w:firstLine="440"/>
        <w:rPr>
          <w:rFonts w:hint="eastAsia"/>
        </w:rPr>
      </w:pPr>
      <w:r w:rsidRPr="00985878">
        <w:rPr>
          <w:rFonts w:hint="eastAsia"/>
        </w:rPr>
        <w:t>上周（</w:t>
      </w:r>
      <w:r w:rsidRPr="00985878">
        <w:rPr>
          <w:rFonts w:hint="eastAsia"/>
        </w:rPr>
        <w:t>10</w:t>
      </w:r>
      <w:r w:rsidRPr="00985878">
        <w:rPr>
          <w:rFonts w:hint="eastAsia"/>
        </w:rPr>
        <w:t>月</w:t>
      </w:r>
      <w:r>
        <w:rPr>
          <w:rFonts w:hint="eastAsia"/>
        </w:rPr>
        <w:t>13</w:t>
      </w:r>
      <w:r w:rsidRPr="00985878">
        <w:rPr>
          <w:rFonts w:hint="eastAsia"/>
        </w:rPr>
        <w:t>日</w:t>
      </w:r>
      <w:r w:rsidRPr="00985878">
        <w:rPr>
          <w:rFonts w:hint="eastAsia"/>
        </w:rPr>
        <w:t>-10</w:t>
      </w:r>
      <w:r w:rsidRPr="00985878">
        <w:rPr>
          <w:rFonts w:hint="eastAsia"/>
        </w:rPr>
        <w:t>月</w:t>
      </w:r>
      <w:r>
        <w:rPr>
          <w:rFonts w:hint="eastAsia"/>
        </w:rPr>
        <w:t>17</w:t>
      </w:r>
      <w:r w:rsidRPr="00985878">
        <w:rPr>
          <w:rFonts w:hint="eastAsia"/>
        </w:rPr>
        <w:t>日）保险行业指数（中信）下跌</w:t>
      </w:r>
      <w:r w:rsidR="00CF1EE1">
        <w:rPr>
          <w:rFonts w:hint="eastAsia"/>
        </w:rPr>
        <w:t>0.39</w:t>
      </w:r>
      <w:r w:rsidRPr="00985878">
        <w:rPr>
          <w:rFonts w:hint="eastAsia"/>
        </w:rPr>
        <w:t>%</w:t>
      </w:r>
      <w:r w:rsidRPr="00985878">
        <w:rPr>
          <w:rFonts w:hint="eastAsia"/>
        </w:rPr>
        <w:t>，同期沪深</w:t>
      </w:r>
      <w:r w:rsidRPr="00985878">
        <w:rPr>
          <w:rFonts w:hint="eastAsia"/>
        </w:rPr>
        <w:t>300</w:t>
      </w:r>
      <w:r w:rsidR="00CF1EE1">
        <w:rPr>
          <w:rFonts w:hint="eastAsia"/>
        </w:rPr>
        <w:t>下跌</w:t>
      </w:r>
      <w:r w:rsidR="00CF1EE1">
        <w:rPr>
          <w:rFonts w:hint="eastAsia"/>
        </w:rPr>
        <w:t>1.02</w:t>
      </w:r>
      <w:r w:rsidRPr="00985878">
        <w:rPr>
          <w:rFonts w:hint="eastAsia"/>
        </w:rPr>
        <w:t>%</w:t>
      </w:r>
      <w:r w:rsidR="00CF1EE1">
        <w:rPr>
          <w:rFonts w:hint="eastAsia"/>
        </w:rPr>
        <w:t>，保险行业指数跑赢</w:t>
      </w:r>
      <w:r w:rsidRPr="00985878">
        <w:rPr>
          <w:rFonts w:hint="eastAsia"/>
        </w:rPr>
        <w:t>沪深</w:t>
      </w:r>
      <w:r w:rsidRPr="00985878">
        <w:rPr>
          <w:rFonts w:hint="eastAsia"/>
        </w:rPr>
        <w:t>300</w:t>
      </w:r>
      <w:r w:rsidRPr="00985878">
        <w:rPr>
          <w:rFonts w:hint="eastAsia"/>
        </w:rPr>
        <w:t>指数约</w:t>
      </w:r>
      <w:r w:rsidR="00CF1EE1">
        <w:rPr>
          <w:rFonts w:hint="eastAsia"/>
        </w:rPr>
        <w:t>0.62</w:t>
      </w:r>
      <w:r w:rsidRPr="00985878">
        <w:rPr>
          <w:rFonts w:hint="eastAsia"/>
        </w:rPr>
        <w:t>个百分点。</w:t>
      </w:r>
    </w:p>
    <w:p w:rsidR="00985878" w:rsidRPr="00D031F7" w:rsidRDefault="00985878" w:rsidP="00985878">
      <w:pPr>
        <w:pStyle w:val="60"/>
        <w:spacing w:before="312"/>
        <w:ind w:leftChars="4" w:left="348" w:hangingChars="188" w:hanging="340"/>
        <w:rPr>
          <w:rFonts w:ascii="楷体_GB2312"/>
          <w:b w:val="0"/>
          <w:i w:val="0"/>
          <w:sz w:val="21"/>
          <w:szCs w:val="21"/>
        </w:rPr>
      </w:pPr>
      <w:bookmarkStart w:id="53" w:name="_Toc400957561"/>
      <w:bookmarkStart w:id="54" w:name="_Toc401583888"/>
      <w:r w:rsidRPr="00975F62">
        <w:rPr>
          <w:rFonts w:ascii="楷体_GB2312" w:hint="eastAsia"/>
        </w:rPr>
        <w:t>图表</w:t>
      </w:r>
      <w:r>
        <w:rPr>
          <w:rFonts w:ascii="楷体_GB2312" w:hint="eastAsia"/>
        </w:rPr>
        <w:t>9</w:t>
      </w:r>
      <w:r w:rsidRPr="00975F62">
        <w:rPr>
          <w:rFonts w:ascii="楷体_GB2312" w:hint="eastAsia"/>
        </w:rPr>
        <w:t>：</w:t>
      </w:r>
      <w:r>
        <w:rPr>
          <w:rFonts w:ascii="楷体_GB2312" w:hint="eastAsia"/>
        </w:rPr>
        <w:t>保险指数超额收益走势图（周）</w:t>
      </w:r>
      <w:bookmarkEnd w:id="53"/>
      <w:bookmarkEnd w:id="54"/>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7088"/>
      </w:tblGrid>
      <w:tr w:rsidR="00985878" w:rsidTr="004D5810">
        <w:tc>
          <w:tcPr>
            <w:tcW w:w="7088" w:type="dxa"/>
            <w:tcBorders>
              <w:tl2br w:val="nil"/>
              <w:tr2bl w:val="nil"/>
            </w:tcBorders>
            <w:vAlign w:val="center"/>
          </w:tcPr>
          <w:p w:rsidR="00985878" w:rsidRPr="00F82369" w:rsidRDefault="00CF1EE1" w:rsidP="004D5810">
            <w:pPr>
              <w:pStyle w:val="22"/>
              <w:keepNext/>
              <w:ind w:leftChars="0" w:left="0"/>
              <w:rPr>
                <w:noProof/>
              </w:rPr>
            </w:pPr>
            <w:r w:rsidRPr="00CF1EE1">
              <w:rPr>
                <w:noProof/>
              </w:rPr>
              <w:drawing>
                <wp:inline distT="0" distB="0" distL="0" distR="0">
                  <wp:extent cx="4454956" cy="2136038"/>
                  <wp:effectExtent l="0" t="0" r="0"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985878" w:rsidRPr="0021672E" w:rsidRDefault="00985878" w:rsidP="00985878">
      <w:pPr>
        <w:pStyle w:val="90"/>
        <w:spacing w:after="312"/>
      </w:pPr>
      <w:r w:rsidRPr="004159BD">
        <w:rPr>
          <w:rFonts w:hint="eastAsia"/>
        </w:rPr>
        <w:t>数据</w:t>
      </w:r>
      <w:r>
        <w:rPr>
          <w:rFonts w:hint="eastAsia"/>
        </w:rPr>
        <w:t>来源：</w:t>
      </w:r>
      <w:r>
        <w:rPr>
          <w:rFonts w:hint="eastAsia"/>
        </w:rPr>
        <w:t>WIND</w:t>
      </w:r>
      <w:r w:rsidRPr="0076443A">
        <w:rPr>
          <w:rFonts w:hint="eastAsia"/>
        </w:rPr>
        <w:t>，华融证</w:t>
      </w:r>
      <w:r w:rsidRPr="004159BD">
        <w:rPr>
          <w:rFonts w:hint="eastAsia"/>
        </w:rPr>
        <w:t>券整理</w:t>
      </w:r>
    </w:p>
    <w:p w:rsidR="00985878" w:rsidRPr="00D031F7" w:rsidRDefault="00985878" w:rsidP="00985878">
      <w:pPr>
        <w:pStyle w:val="60"/>
        <w:spacing w:before="312"/>
        <w:ind w:leftChars="4" w:left="348" w:hangingChars="188" w:hanging="340"/>
        <w:rPr>
          <w:rFonts w:ascii="楷体_GB2312"/>
          <w:b w:val="0"/>
          <w:i w:val="0"/>
          <w:sz w:val="21"/>
          <w:szCs w:val="21"/>
        </w:rPr>
      </w:pPr>
      <w:bookmarkStart w:id="55" w:name="_Toc400957562"/>
      <w:bookmarkStart w:id="56" w:name="_Toc401583889"/>
      <w:r w:rsidRPr="00975F62">
        <w:rPr>
          <w:rFonts w:ascii="楷体_GB2312" w:hint="eastAsia"/>
        </w:rPr>
        <w:t>图表</w:t>
      </w:r>
      <w:r>
        <w:rPr>
          <w:rFonts w:ascii="楷体_GB2312" w:hint="eastAsia"/>
        </w:rPr>
        <w:t>10：金融子行业2014年涨跌幅（月）</w:t>
      </w:r>
      <w:bookmarkEnd w:id="55"/>
      <w:bookmarkEnd w:id="56"/>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7088"/>
      </w:tblGrid>
      <w:tr w:rsidR="00985878" w:rsidTr="004D5810">
        <w:tc>
          <w:tcPr>
            <w:tcW w:w="7088" w:type="dxa"/>
            <w:tcBorders>
              <w:tl2br w:val="nil"/>
              <w:tr2bl w:val="nil"/>
            </w:tcBorders>
            <w:vAlign w:val="center"/>
          </w:tcPr>
          <w:p w:rsidR="00985878" w:rsidRPr="00F82369" w:rsidRDefault="00F35171" w:rsidP="004D5810">
            <w:pPr>
              <w:pStyle w:val="22"/>
              <w:keepNext/>
              <w:ind w:leftChars="0" w:left="0"/>
              <w:rPr>
                <w:noProof/>
              </w:rPr>
            </w:pPr>
            <w:r w:rsidRPr="00F35171">
              <w:rPr>
                <w:noProof/>
              </w:rPr>
              <w:drawing>
                <wp:inline distT="0" distB="0" distL="0" distR="0">
                  <wp:extent cx="4411065" cy="2099463"/>
                  <wp:effectExtent l="0" t="0" r="0" b="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985878" w:rsidRPr="004931F0" w:rsidRDefault="00985878" w:rsidP="00985878">
      <w:pPr>
        <w:pStyle w:val="90"/>
        <w:spacing w:after="312"/>
      </w:pPr>
      <w:r w:rsidRPr="004159BD">
        <w:rPr>
          <w:rFonts w:hint="eastAsia"/>
        </w:rPr>
        <w:t>数据</w:t>
      </w:r>
      <w:r>
        <w:rPr>
          <w:rFonts w:hint="eastAsia"/>
        </w:rPr>
        <w:t>来源：</w:t>
      </w:r>
      <w:r>
        <w:rPr>
          <w:rFonts w:hint="eastAsia"/>
        </w:rPr>
        <w:t>WIND</w:t>
      </w:r>
      <w:r w:rsidRPr="0076443A">
        <w:rPr>
          <w:rFonts w:hint="eastAsia"/>
        </w:rPr>
        <w:t>，华融证</w:t>
      </w:r>
      <w:r w:rsidRPr="004159BD">
        <w:rPr>
          <w:rFonts w:hint="eastAsia"/>
        </w:rPr>
        <w:t>券整理</w:t>
      </w:r>
      <w:bookmarkStart w:id="57" w:name="_Toc398589494"/>
    </w:p>
    <w:p w:rsidR="00985878" w:rsidRDefault="00985878" w:rsidP="00103F28">
      <w:pPr>
        <w:pStyle w:val="60"/>
        <w:spacing w:before="312"/>
        <w:ind w:leftChars="-162" w:left="0" w:hangingChars="188" w:hanging="340"/>
        <w:rPr>
          <w:rFonts w:ascii="楷体_GB2312" w:hint="eastAsia"/>
        </w:rPr>
      </w:pPr>
      <w:r>
        <w:rPr>
          <w:rFonts w:ascii="楷体_GB2312" w:hint="eastAsia"/>
        </w:rPr>
        <w:t xml:space="preserve">  </w:t>
      </w:r>
      <w:bookmarkStart w:id="58" w:name="_Toc400957563"/>
      <w:r w:rsidR="00103F28">
        <w:rPr>
          <w:rFonts w:ascii="楷体_GB2312" w:hint="eastAsia"/>
        </w:rPr>
        <w:t xml:space="preserve">  </w:t>
      </w:r>
      <w:bookmarkStart w:id="59" w:name="_Toc401583890"/>
      <w:r w:rsidRPr="00832725">
        <w:rPr>
          <w:rFonts w:ascii="楷体_GB2312" w:hint="eastAsia"/>
        </w:rPr>
        <w:t xml:space="preserve">图表 </w:t>
      </w:r>
      <w:r w:rsidRPr="00832725">
        <w:rPr>
          <w:rFonts w:ascii="楷体_GB2312"/>
        </w:rPr>
        <w:fldChar w:fldCharType="begin"/>
      </w:r>
      <w:r w:rsidRPr="00832725">
        <w:rPr>
          <w:rFonts w:ascii="楷体_GB2312"/>
        </w:rPr>
        <w:instrText xml:space="preserve"> </w:instrText>
      </w:r>
      <w:r w:rsidRPr="00832725">
        <w:rPr>
          <w:rFonts w:ascii="楷体_GB2312" w:hint="eastAsia"/>
        </w:rPr>
        <w:instrText>SEQ 图表 \* ARABIC</w:instrText>
      </w:r>
      <w:r w:rsidRPr="00832725">
        <w:rPr>
          <w:rFonts w:ascii="楷体_GB2312"/>
        </w:rPr>
        <w:instrText xml:space="preserve"> </w:instrText>
      </w:r>
      <w:r w:rsidRPr="00832725">
        <w:rPr>
          <w:rFonts w:ascii="楷体_GB2312"/>
        </w:rPr>
        <w:fldChar w:fldCharType="separate"/>
      </w:r>
      <w:r w:rsidRPr="00832725">
        <w:rPr>
          <w:rFonts w:ascii="楷体_GB2312"/>
        </w:rPr>
        <w:t>11</w:t>
      </w:r>
      <w:r w:rsidRPr="00832725">
        <w:rPr>
          <w:rFonts w:ascii="楷体_GB2312"/>
        </w:rPr>
        <w:fldChar w:fldCharType="end"/>
      </w:r>
      <w:r w:rsidRPr="00832725">
        <w:rPr>
          <w:rFonts w:ascii="楷体_GB2312"/>
        </w:rPr>
        <w:t xml:space="preserve"> 上市公司相对保险指数获得超额收益（周</w:t>
      </w:r>
      <w:r w:rsidRPr="00832725">
        <w:rPr>
          <w:rFonts w:ascii="楷体_GB2312" w:hint="eastAsia"/>
        </w:rPr>
        <w:t>，%</w:t>
      </w:r>
      <w:r w:rsidRPr="00832725">
        <w:rPr>
          <w:rFonts w:ascii="楷体_GB2312"/>
        </w:rPr>
        <w:t>）</w:t>
      </w:r>
      <w:bookmarkEnd w:id="57"/>
      <w:bookmarkEnd w:id="58"/>
      <w:bookmarkEnd w:id="59"/>
    </w:p>
    <w:tbl>
      <w:tblPr>
        <w:tblStyle w:val="14"/>
        <w:tblW w:w="10138" w:type="dxa"/>
        <w:tblInd w:w="108" w:type="dxa"/>
        <w:tblLook w:val="04A0"/>
      </w:tblPr>
      <w:tblGrid>
        <w:gridCol w:w="1240"/>
        <w:gridCol w:w="928"/>
        <w:gridCol w:w="1059"/>
        <w:gridCol w:w="928"/>
        <w:gridCol w:w="1056"/>
        <w:gridCol w:w="928"/>
        <w:gridCol w:w="1057"/>
        <w:gridCol w:w="928"/>
        <w:gridCol w:w="1056"/>
        <w:gridCol w:w="958"/>
      </w:tblGrid>
      <w:tr w:rsidR="003B0E80" w:rsidRPr="003B0E80" w:rsidTr="003B0E80">
        <w:trPr>
          <w:cnfStyle w:val="100000000000"/>
          <w:trHeight w:val="270"/>
        </w:trPr>
        <w:tc>
          <w:tcPr>
            <w:cnfStyle w:val="001000000000"/>
            <w:tcW w:w="1240" w:type="dxa"/>
            <w:noWrap/>
            <w:hideMark/>
          </w:tcPr>
          <w:p w:rsidR="003B0E80" w:rsidRPr="003B0E80" w:rsidRDefault="003B0E80" w:rsidP="003B0E80">
            <w:pPr>
              <w:widowControl/>
              <w:jc w:val="left"/>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 xml:space="preserve">　</w:t>
            </w:r>
          </w:p>
        </w:tc>
        <w:tc>
          <w:tcPr>
            <w:tcW w:w="1987" w:type="dxa"/>
            <w:gridSpan w:val="2"/>
            <w:noWrap/>
            <w:hideMark/>
          </w:tcPr>
          <w:p w:rsidR="003B0E80" w:rsidRPr="003B0E80" w:rsidRDefault="003B0E80" w:rsidP="003B0E80">
            <w:pPr>
              <w:widowControl/>
              <w:jc w:val="center"/>
              <w:cnfStyle w:val="100000000000"/>
              <w:rPr>
                <w:rFonts w:ascii="楷体_GB2312" w:eastAsia="楷体_GB2312" w:hAnsi="宋体" w:cs="宋体" w:hint="eastAsia"/>
                <w:i w:val="0"/>
                <w:color w:val="000000"/>
                <w:kern w:val="0"/>
                <w:sz w:val="18"/>
                <w:szCs w:val="18"/>
              </w:rPr>
            </w:pPr>
            <w:r w:rsidRPr="003B0E80">
              <w:rPr>
                <w:rFonts w:ascii="楷体_GB2312" w:eastAsia="楷体_GB2312" w:hAnsi="宋体" w:cs="宋体" w:hint="eastAsia"/>
                <w:i w:val="0"/>
                <w:color w:val="000000"/>
                <w:kern w:val="0"/>
                <w:sz w:val="18"/>
                <w:szCs w:val="18"/>
              </w:rPr>
              <w:t>中国平安</w:t>
            </w:r>
          </w:p>
        </w:tc>
        <w:tc>
          <w:tcPr>
            <w:tcW w:w="1984" w:type="dxa"/>
            <w:gridSpan w:val="2"/>
            <w:noWrap/>
            <w:hideMark/>
          </w:tcPr>
          <w:p w:rsidR="003B0E80" w:rsidRPr="003B0E80" w:rsidRDefault="003B0E80" w:rsidP="003B0E80">
            <w:pPr>
              <w:widowControl/>
              <w:jc w:val="center"/>
              <w:cnfStyle w:val="100000000000"/>
              <w:rPr>
                <w:rFonts w:ascii="楷体_GB2312" w:eastAsia="楷体_GB2312" w:hAnsi="宋体" w:cs="宋体" w:hint="eastAsia"/>
                <w:i w:val="0"/>
                <w:color w:val="000000"/>
                <w:kern w:val="0"/>
                <w:sz w:val="18"/>
                <w:szCs w:val="18"/>
              </w:rPr>
            </w:pPr>
            <w:r w:rsidRPr="003B0E80">
              <w:rPr>
                <w:rFonts w:ascii="楷体_GB2312" w:eastAsia="楷体_GB2312" w:hAnsi="宋体" w:cs="宋体" w:hint="eastAsia"/>
                <w:i w:val="0"/>
                <w:color w:val="000000"/>
                <w:kern w:val="0"/>
                <w:sz w:val="18"/>
                <w:szCs w:val="18"/>
              </w:rPr>
              <w:t>新华保险</w:t>
            </w:r>
          </w:p>
        </w:tc>
        <w:tc>
          <w:tcPr>
            <w:tcW w:w="1985" w:type="dxa"/>
            <w:gridSpan w:val="2"/>
            <w:noWrap/>
            <w:hideMark/>
          </w:tcPr>
          <w:p w:rsidR="003B0E80" w:rsidRPr="003B0E80" w:rsidRDefault="003B0E80" w:rsidP="003B0E80">
            <w:pPr>
              <w:widowControl/>
              <w:jc w:val="center"/>
              <w:cnfStyle w:val="100000000000"/>
              <w:rPr>
                <w:rFonts w:ascii="楷体_GB2312" w:eastAsia="楷体_GB2312" w:hAnsi="宋体" w:cs="宋体" w:hint="eastAsia"/>
                <w:i w:val="0"/>
                <w:color w:val="000000"/>
                <w:kern w:val="0"/>
                <w:sz w:val="18"/>
                <w:szCs w:val="18"/>
              </w:rPr>
            </w:pPr>
            <w:r w:rsidRPr="003B0E80">
              <w:rPr>
                <w:rFonts w:ascii="楷体_GB2312" w:eastAsia="楷体_GB2312" w:hAnsi="宋体" w:cs="宋体" w:hint="eastAsia"/>
                <w:i w:val="0"/>
                <w:color w:val="000000"/>
                <w:kern w:val="0"/>
                <w:sz w:val="18"/>
                <w:szCs w:val="18"/>
              </w:rPr>
              <w:t>中国太保</w:t>
            </w:r>
          </w:p>
        </w:tc>
        <w:tc>
          <w:tcPr>
            <w:tcW w:w="1984" w:type="dxa"/>
            <w:gridSpan w:val="2"/>
            <w:noWrap/>
            <w:hideMark/>
          </w:tcPr>
          <w:p w:rsidR="003B0E80" w:rsidRPr="003B0E80" w:rsidRDefault="003B0E80" w:rsidP="003B0E80">
            <w:pPr>
              <w:widowControl/>
              <w:jc w:val="center"/>
              <w:cnfStyle w:val="100000000000"/>
              <w:rPr>
                <w:rFonts w:ascii="楷体_GB2312" w:eastAsia="楷体_GB2312" w:hAnsi="宋体" w:cs="宋体" w:hint="eastAsia"/>
                <w:i w:val="0"/>
                <w:color w:val="000000"/>
                <w:kern w:val="0"/>
                <w:sz w:val="18"/>
                <w:szCs w:val="18"/>
              </w:rPr>
            </w:pPr>
            <w:r w:rsidRPr="003B0E80">
              <w:rPr>
                <w:rFonts w:ascii="楷体_GB2312" w:eastAsia="楷体_GB2312" w:hAnsi="宋体" w:cs="宋体" w:hint="eastAsia"/>
                <w:i w:val="0"/>
                <w:color w:val="000000"/>
                <w:kern w:val="0"/>
                <w:sz w:val="18"/>
                <w:szCs w:val="18"/>
              </w:rPr>
              <w:t>中国人寿</w:t>
            </w:r>
          </w:p>
        </w:tc>
        <w:tc>
          <w:tcPr>
            <w:tcW w:w="958" w:type="dxa"/>
            <w:noWrap/>
            <w:hideMark/>
          </w:tcPr>
          <w:p w:rsidR="003B0E80" w:rsidRPr="003B0E80" w:rsidRDefault="003B0E80" w:rsidP="003B0E80">
            <w:pPr>
              <w:widowControl/>
              <w:jc w:val="center"/>
              <w:cnfStyle w:val="100000000000"/>
              <w:rPr>
                <w:rFonts w:ascii="楷体_GB2312" w:eastAsia="楷体_GB2312" w:hAnsi="宋体" w:cs="宋体" w:hint="eastAsia"/>
                <w:i w:val="0"/>
                <w:color w:val="000000"/>
                <w:kern w:val="0"/>
                <w:sz w:val="18"/>
                <w:szCs w:val="18"/>
              </w:rPr>
            </w:pPr>
            <w:r w:rsidRPr="003B0E80">
              <w:rPr>
                <w:rFonts w:ascii="楷体_GB2312" w:eastAsia="楷体_GB2312" w:hAnsi="宋体" w:cs="宋体" w:hint="eastAsia"/>
                <w:i w:val="0"/>
                <w:color w:val="000000"/>
                <w:kern w:val="0"/>
                <w:sz w:val="18"/>
                <w:szCs w:val="18"/>
              </w:rPr>
              <w:t>保险指数</w:t>
            </w:r>
          </w:p>
        </w:tc>
      </w:tr>
      <w:tr w:rsidR="003B0E80" w:rsidRPr="003B0E80" w:rsidTr="003B0E80">
        <w:trPr>
          <w:trHeight w:val="270"/>
        </w:trPr>
        <w:tc>
          <w:tcPr>
            <w:cnfStyle w:val="001000000000"/>
            <w:tcW w:w="1240" w:type="dxa"/>
            <w:noWrap/>
            <w:hideMark/>
          </w:tcPr>
          <w:p w:rsidR="003B0E80" w:rsidRPr="003B0E80" w:rsidRDefault="003B0E80" w:rsidP="003B0E80">
            <w:pPr>
              <w:widowControl/>
              <w:jc w:val="left"/>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 xml:space="preserve">　</w:t>
            </w:r>
          </w:p>
        </w:tc>
        <w:tc>
          <w:tcPr>
            <w:tcW w:w="928"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涨跌幅</w:t>
            </w:r>
          </w:p>
        </w:tc>
        <w:tc>
          <w:tcPr>
            <w:tcW w:w="1059"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超额收益</w:t>
            </w:r>
          </w:p>
        </w:tc>
        <w:tc>
          <w:tcPr>
            <w:tcW w:w="928"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涨跌幅</w:t>
            </w:r>
          </w:p>
        </w:tc>
        <w:tc>
          <w:tcPr>
            <w:tcW w:w="1056"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超额收益</w:t>
            </w:r>
          </w:p>
        </w:tc>
        <w:tc>
          <w:tcPr>
            <w:tcW w:w="928"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涨跌幅</w:t>
            </w:r>
          </w:p>
        </w:tc>
        <w:tc>
          <w:tcPr>
            <w:tcW w:w="1057"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超额收益</w:t>
            </w:r>
          </w:p>
        </w:tc>
        <w:tc>
          <w:tcPr>
            <w:tcW w:w="928"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涨跌幅</w:t>
            </w:r>
          </w:p>
        </w:tc>
        <w:tc>
          <w:tcPr>
            <w:tcW w:w="1056"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超额收益</w:t>
            </w:r>
          </w:p>
        </w:tc>
        <w:tc>
          <w:tcPr>
            <w:tcW w:w="958" w:type="dxa"/>
            <w:noWrap/>
            <w:hideMark/>
          </w:tcPr>
          <w:p w:rsidR="003B0E80" w:rsidRPr="003B0E80" w:rsidRDefault="003B0E80" w:rsidP="003B0E80">
            <w:pPr>
              <w:widowControl/>
              <w:jc w:val="center"/>
              <w:cnfStyle w:val="000000000000"/>
              <w:rPr>
                <w:rFonts w:ascii="楷体_GB2312" w:eastAsia="楷体_GB2312" w:hAnsi="宋体" w:cs="宋体" w:hint="eastAsia"/>
                <w:color w:val="000000"/>
                <w:kern w:val="0"/>
                <w:sz w:val="18"/>
                <w:szCs w:val="18"/>
              </w:rPr>
            </w:pPr>
            <w:r w:rsidRPr="003B0E80">
              <w:rPr>
                <w:rFonts w:ascii="楷体_GB2312" w:eastAsia="楷体_GB2312" w:hAnsi="宋体" w:cs="宋体" w:hint="eastAsia"/>
                <w:color w:val="000000"/>
                <w:kern w:val="0"/>
                <w:sz w:val="18"/>
                <w:szCs w:val="18"/>
              </w:rPr>
              <w:t>涨跌幅</w:t>
            </w:r>
          </w:p>
        </w:tc>
      </w:tr>
      <w:tr w:rsidR="003B0E80" w:rsidRPr="003B0E80" w:rsidTr="003B0E80">
        <w:trPr>
          <w:trHeight w:val="270"/>
        </w:trPr>
        <w:tc>
          <w:tcPr>
            <w:cnfStyle w:val="001000000000"/>
            <w:tcW w:w="1240" w:type="dxa"/>
            <w:noWrap/>
            <w:hideMark/>
          </w:tcPr>
          <w:p w:rsidR="003B0E80" w:rsidRPr="003B0E80" w:rsidRDefault="003B0E80" w:rsidP="003B0E80">
            <w:pPr>
              <w:widowControl/>
              <w:jc w:val="right"/>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20141010</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0.10</w:t>
            </w:r>
          </w:p>
        </w:tc>
        <w:tc>
          <w:tcPr>
            <w:tcW w:w="1059"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0.12</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-0.65</w:t>
            </w:r>
          </w:p>
        </w:tc>
        <w:tc>
          <w:tcPr>
            <w:tcW w:w="1056"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-0.63</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-0.05</w:t>
            </w:r>
          </w:p>
        </w:tc>
        <w:tc>
          <w:tcPr>
            <w:tcW w:w="1057"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-0.03</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-0.19</w:t>
            </w:r>
          </w:p>
        </w:tc>
        <w:tc>
          <w:tcPr>
            <w:tcW w:w="1056"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-0.17</w:t>
            </w:r>
          </w:p>
        </w:tc>
        <w:tc>
          <w:tcPr>
            <w:tcW w:w="95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-0.03</w:t>
            </w:r>
          </w:p>
        </w:tc>
      </w:tr>
      <w:tr w:rsidR="003B0E80" w:rsidRPr="003B0E80" w:rsidTr="003B0E80">
        <w:trPr>
          <w:trHeight w:val="270"/>
        </w:trPr>
        <w:tc>
          <w:tcPr>
            <w:cnfStyle w:val="001000000000"/>
            <w:tcW w:w="1240" w:type="dxa"/>
            <w:noWrap/>
            <w:hideMark/>
          </w:tcPr>
          <w:p w:rsidR="003B0E80" w:rsidRPr="003B0E80" w:rsidRDefault="003B0E80" w:rsidP="003B0E80">
            <w:pPr>
              <w:widowControl/>
              <w:jc w:val="right"/>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20141017</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-0.53</w:t>
            </w:r>
          </w:p>
        </w:tc>
        <w:tc>
          <w:tcPr>
            <w:tcW w:w="1059"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-0.14</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2.30</w:t>
            </w:r>
          </w:p>
        </w:tc>
        <w:tc>
          <w:tcPr>
            <w:tcW w:w="1056"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2.69</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-0.93</w:t>
            </w:r>
          </w:p>
        </w:tc>
        <w:tc>
          <w:tcPr>
            <w:tcW w:w="1057"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-0.54</w:t>
            </w:r>
          </w:p>
        </w:tc>
        <w:tc>
          <w:tcPr>
            <w:tcW w:w="92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-1.55</w:t>
            </w:r>
          </w:p>
        </w:tc>
        <w:tc>
          <w:tcPr>
            <w:tcW w:w="1056"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-1.15</w:t>
            </w:r>
          </w:p>
        </w:tc>
        <w:tc>
          <w:tcPr>
            <w:tcW w:w="958" w:type="dxa"/>
            <w:noWrap/>
            <w:hideMark/>
          </w:tcPr>
          <w:p w:rsidR="003B0E80" w:rsidRPr="003B0E80" w:rsidRDefault="003B0E80" w:rsidP="003B0E80">
            <w:pPr>
              <w:widowControl/>
              <w:jc w:val="center"/>
              <w:cnfStyle w:val="000000000000"/>
              <w:rPr>
                <w:rFonts w:ascii="Arial" w:eastAsia="楷体_GB2312" w:hAnsi="Arial" w:cs="Arial"/>
                <w:color w:val="000000"/>
                <w:kern w:val="0"/>
                <w:sz w:val="18"/>
                <w:szCs w:val="18"/>
              </w:rPr>
            </w:pPr>
            <w:r w:rsidRPr="003B0E80">
              <w:rPr>
                <w:rFonts w:ascii="Arial" w:eastAsia="楷体_GB2312" w:hAnsi="Arial" w:cs="Arial"/>
                <w:color w:val="000000"/>
                <w:kern w:val="0"/>
                <w:sz w:val="18"/>
                <w:szCs w:val="18"/>
              </w:rPr>
              <w:t>-0.39</w:t>
            </w:r>
          </w:p>
        </w:tc>
      </w:tr>
    </w:tbl>
    <w:p w:rsidR="00985878" w:rsidRPr="003B0E80" w:rsidRDefault="00985878" w:rsidP="003B0E80">
      <w:pPr>
        <w:pStyle w:val="90"/>
        <w:spacing w:after="312"/>
      </w:pPr>
      <w:r w:rsidRPr="004159BD">
        <w:rPr>
          <w:rFonts w:hint="eastAsia"/>
        </w:rPr>
        <w:t>数据</w:t>
      </w:r>
      <w:r>
        <w:rPr>
          <w:rFonts w:hint="eastAsia"/>
        </w:rPr>
        <w:t>来源：</w:t>
      </w:r>
      <w:r>
        <w:rPr>
          <w:rFonts w:hint="eastAsia"/>
        </w:rPr>
        <w:t>WIND</w:t>
      </w:r>
      <w:r w:rsidRPr="0076443A">
        <w:rPr>
          <w:rFonts w:hint="eastAsia"/>
        </w:rPr>
        <w:t>，华融证</w:t>
      </w:r>
      <w:r w:rsidRPr="004159BD">
        <w:rPr>
          <w:rFonts w:hint="eastAsia"/>
        </w:rPr>
        <w:t>券整理</w:t>
      </w:r>
    </w:p>
    <w:p w:rsidR="00985878" w:rsidRDefault="00985878" w:rsidP="00985878">
      <w:pPr>
        <w:pStyle w:val="11"/>
        <w:spacing w:after="312"/>
        <w:rPr>
          <w:rFonts w:hint="eastAsia"/>
        </w:rPr>
      </w:pPr>
      <w:bookmarkStart w:id="60" w:name="_Toc401583875"/>
      <w:r>
        <w:rPr>
          <w:rFonts w:hint="eastAsia"/>
        </w:rPr>
        <w:lastRenderedPageBreak/>
        <w:t>六、投资建议</w:t>
      </w:r>
      <w:bookmarkEnd w:id="60"/>
    </w:p>
    <w:p w:rsidR="00985878" w:rsidRPr="00985878" w:rsidRDefault="00985878" w:rsidP="00985878">
      <w:pPr>
        <w:pStyle w:val="50"/>
        <w:spacing w:after="312"/>
        <w:ind w:right="2730" w:firstLine="440"/>
        <w:rPr>
          <w:rFonts w:hint="eastAsia"/>
        </w:rPr>
      </w:pPr>
      <w:r w:rsidRPr="00985878">
        <w:rPr>
          <w:rFonts w:hint="eastAsia"/>
        </w:rPr>
        <w:t>从基本面看，四家上市险企的上半年保费同比增长近</w:t>
      </w:r>
      <w:r w:rsidRPr="00985878">
        <w:rPr>
          <w:rFonts w:hint="eastAsia"/>
        </w:rPr>
        <w:t>11%</w:t>
      </w:r>
      <w:r w:rsidRPr="00985878">
        <w:rPr>
          <w:rFonts w:hint="eastAsia"/>
        </w:rPr>
        <w:t>，可以判断保险行业已经扭转了过去两年的低迷增长态势。险资投资运用余额今年以来持续提升。随着资本市场投资收益率的改善，以及创新投资工具和投资渠道的拓展，险资投资收益较往年明显改善。截至上半年末，上市四家险企的加权净资产收益率全部大幅提升，总资产收益率也稳中有升。从政策消息面看，７月上旬国务院关于加快发展现代保险服务业的五项工作顶层设计将加快推动未来各项工作实施细则的出台。这五项内容分别是：一是促进保险与保障紧密衔接，把商业保险建成社会保障体系的重要支柱；二是将保险纳入灾害事故防范救助体系；三是通过保险推进产业升级；四是运用保险机制创新公共服务；五是深化保险业改革开放。我们对于政策预保持乐观。我们维持保险业“看好”评级。</w:t>
      </w:r>
    </w:p>
    <w:p w:rsidR="00985878" w:rsidRPr="001E0BBE" w:rsidRDefault="00985878" w:rsidP="00985878">
      <w:pPr>
        <w:pStyle w:val="11"/>
        <w:spacing w:after="312"/>
      </w:pPr>
      <w:bookmarkStart w:id="61" w:name="_Toc401583876"/>
      <w:r>
        <w:rPr>
          <w:rFonts w:hint="eastAsia"/>
        </w:rPr>
        <w:t>七、风险提示</w:t>
      </w:r>
      <w:bookmarkEnd w:id="61"/>
    </w:p>
    <w:bookmarkEnd w:id="7"/>
    <w:bookmarkEnd w:id="8"/>
    <w:bookmarkEnd w:id="9"/>
    <w:bookmarkEnd w:id="10"/>
    <w:p w:rsidR="00985878" w:rsidRPr="00F67902" w:rsidRDefault="00985878" w:rsidP="00985878">
      <w:pPr>
        <w:pStyle w:val="50"/>
        <w:spacing w:after="312"/>
        <w:ind w:right="2730" w:firstLine="440"/>
      </w:pPr>
      <w:r w:rsidRPr="00985878">
        <w:rPr>
          <w:rFonts w:hint="eastAsia"/>
        </w:rPr>
        <w:t>宏观经济下行压力加大；债券投资收益不振，创新类投资渠道风险加大；新政缓慢或收紧。</w:t>
      </w:r>
    </w:p>
    <w:p w:rsidR="000632C0" w:rsidRPr="00AC4481" w:rsidRDefault="002461AC" w:rsidP="000632C0">
      <w:pPr>
        <w:pStyle w:val="50"/>
        <w:spacing w:after="312"/>
        <w:ind w:right="2730" w:firstLine="482"/>
        <w:rPr>
          <w:rFonts w:cs="Arial"/>
          <w:b/>
          <w:sz w:val="24"/>
        </w:rPr>
      </w:pPr>
      <w:r>
        <w:rPr>
          <w:rFonts w:ascii="楷体_GB2312" w:hAnsi="宋体"/>
          <w:b/>
          <w:sz w:val="24"/>
        </w:rPr>
        <w:br w:type="page"/>
      </w:r>
      <w:r w:rsidR="000632C0" w:rsidRPr="00AC4481">
        <w:rPr>
          <w:rFonts w:ascii="楷体_GB2312" w:hAnsi="宋体" w:hint="eastAsia"/>
          <w:b/>
          <w:sz w:val="24"/>
        </w:rPr>
        <w:lastRenderedPageBreak/>
        <w:t>投资评</w:t>
      </w:r>
      <w:r w:rsidR="000632C0" w:rsidRPr="00AC4481">
        <w:rPr>
          <w:rFonts w:cs="Arial"/>
          <w:b/>
          <w:sz w:val="24"/>
        </w:rPr>
        <w:t>级定义</w:t>
      </w:r>
    </w:p>
    <w:tbl>
      <w:tblPr>
        <w:tblW w:w="10255" w:type="dxa"/>
        <w:tblInd w:w="113" w:type="dxa"/>
        <w:tblBorders>
          <w:top w:val="single" w:sz="6" w:space="0" w:color="auto"/>
          <w:bottom w:val="single" w:sz="6" w:space="0" w:color="auto"/>
          <w:insideH w:val="single" w:sz="6" w:space="0" w:color="auto"/>
          <w:insideV w:val="single" w:sz="6" w:space="0" w:color="auto"/>
        </w:tblBorders>
        <w:tblLook w:val="0000"/>
      </w:tblPr>
      <w:tblGrid>
        <w:gridCol w:w="1041"/>
        <w:gridCol w:w="3994"/>
        <w:gridCol w:w="782"/>
        <w:gridCol w:w="4438"/>
      </w:tblGrid>
      <w:tr w:rsidR="000632C0" w:rsidRPr="00413E06" w:rsidTr="00AE2BEA">
        <w:trPr>
          <w:trHeight w:val="293"/>
        </w:trPr>
        <w:tc>
          <w:tcPr>
            <w:tcW w:w="5035" w:type="dxa"/>
            <w:gridSpan w:val="2"/>
            <w:vAlign w:val="center"/>
          </w:tcPr>
          <w:p w:rsidR="000632C0" w:rsidRPr="005D4FB2" w:rsidRDefault="000632C0" w:rsidP="00AE2BEA">
            <w:pPr>
              <w:rPr>
                <w:rFonts w:ascii="Arial" w:eastAsia="楷体_GB2312" w:hAnsi="Arial" w:cs="Arial"/>
                <w:b/>
                <w:kern w:val="0"/>
                <w:sz w:val="18"/>
                <w:szCs w:val="18"/>
              </w:rPr>
            </w:pPr>
            <w:r w:rsidRPr="005D4FB2">
              <w:rPr>
                <w:rFonts w:ascii="Arial" w:eastAsia="楷体_GB2312" w:hAnsi="Arial" w:cs="Arial"/>
                <w:b/>
                <w:kern w:val="0"/>
                <w:sz w:val="18"/>
                <w:szCs w:val="18"/>
              </w:rPr>
              <w:t>公司评级</w:t>
            </w:r>
          </w:p>
        </w:tc>
        <w:tc>
          <w:tcPr>
            <w:tcW w:w="5220" w:type="dxa"/>
            <w:gridSpan w:val="2"/>
            <w:vAlign w:val="center"/>
          </w:tcPr>
          <w:p w:rsidR="000632C0" w:rsidRPr="005D4FB2" w:rsidRDefault="000632C0" w:rsidP="00AE2BEA">
            <w:pPr>
              <w:rPr>
                <w:rFonts w:ascii="Arial" w:eastAsia="楷体_GB2312" w:hAnsi="Arial" w:cs="Arial"/>
                <w:b/>
                <w:kern w:val="0"/>
                <w:sz w:val="18"/>
                <w:szCs w:val="18"/>
              </w:rPr>
            </w:pPr>
            <w:r w:rsidRPr="005D4FB2">
              <w:rPr>
                <w:rFonts w:ascii="Arial" w:eastAsia="楷体_GB2312" w:hAnsi="Arial" w:cs="Arial"/>
                <w:b/>
                <w:kern w:val="0"/>
                <w:sz w:val="18"/>
                <w:szCs w:val="18"/>
              </w:rPr>
              <w:t>行业评级</w:t>
            </w:r>
          </w:p>
        </w:tc>
      </w:tr>
      <w:tr w:rsidR="000632C0" w:rsidRPr="00413E06" w:rsidTr="00AE2BEA">
        <w:trPr>
          <w:trHeight w:val="307"/>
        </w:trPr>
        <w:tc>
          <w:tcPr>
            <w:tcW w:w="1041"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强烈推荐</w:t>
            </w:r>
          </w:p>
        </w:tc>
        <w:tc>
          <w:tcPr>
            <w:tcW w:w="3994"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个月内股价相对市场基准指数升幅在</w:t>
            </w:r>
            <w:r w:rsidRPr="00413E06">
              <w:rPr>
                <w:rFonts w:ascii="Arial" w:eastAsia="楷体_GB2312" w:hAnsi="Arial" w:cs="Arial"/>
                <w:color w:val="000000"/>
                <w:kern w:val="0"/>
                <w:sz w:val="18"/>
                <w:szCs w:val="18"/>
              </w:rPr>
              <w:t>15%</w:t>
            </w:r>
            <w:r w:rsidRPr="00413E06">
              <w:rPr>
                <w:rFonts w:ascii="Arial" w:eastAsia="楷体_GB2312" w:hAnsi="Arial" w:cs="Arial"/>
                <w:color w:val="000000"/>
                <w:kern w:val="0"/>
                <w:sz w:val="18"/>
                <w:szCs w:val="18"/>
              </w:rPr>
              <w:t>以上</w:t>
            </w:r>
          </w:p>
        </w:tc>
        <w:tc>
          <w:tcPr>
            <w:tcW w:w="782" w:type="dxa"/>
            <w:vAlign w:val="center"/>
          </w:tcPr>
          <w:p w:rsidR="000632C0" w:rsidRPr="00413E06" w:rsidRDefault="000632C0" w:rsidP="00AE2BEA">
            <w:pPr>
              <w:jc w:val="cente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看好</w:t>
            </w:r>
          </w:p>
        </w:tc>
        <w:tc>
          <w:tcPr>
            <w:tcW w:w="4438"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个月内行业指数优于市场指数</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以上</w:t>
            </w:r>
          </w:p>
        </w:tc>
      </w:tr>
      <w:tr w:rsidR="000632C0" w:rsidRPr="00413E06" w:rsidTr="00AE2BEA">
        <w:trPr>
          <w:trHeight w:val="307"/>
        </w:trPr>
        <w:tc>
          <w:tcPr>
            <w:tcW w:w="1041"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推</w:t>
            </w:r>
            <w:r w:rsidRPr="00413E06">
              <w:rPr>
                <w:rFonts w:ascii="Arial" w:eastAsia="楷体_GB2312" w:hAnsi="Arial" w:cs="Arial"/>
                <w:color w:val="000000"/>
                <w:kern w:val="0"/>
                <w:sz w:val="18"/>
                <w:szCs w:val="18"/>
              </w:rPr>
              <w:t xml:space="preserve">  </w:t>
            </w:r>
            <w:r>
              <w:rPr>
                <w:rFonts w:ascii="Arial" w:eastAsia="楷体_GB2312" w:hAnsi="Arial" w:cs="Arial" w:hint="eastAsia"/>
                <w:color w:val="000000"/>
                <w:kern w:val="0"/>
                <w:sz w:val="18"/>
                <w:szCs w:val="18"/>
              </w:rPr>
              <w:t xml:space="preserve"> </w:t>
            </w:r>
            <w:r w:rsidRPr="00413E06">
              <w:rPr>
                <w:rFonts w:ascii="Arial" w:eastAsia="楷体_GB2312" w:hAnsi="Arial" w:cs="Arial"/>
                <w:color w:val="000000"/>
                <w:kern w:val="0"/>
                <w:sz w:val="18"/>
                <w:szCs w:val="18"/>
              </w:rPr>
              <w:t xml:space="preserve"> </w:t>
            </w:r>
            <w:r w:rsidRPr="00413E06">
              <w:rPr>
                <w:rFonts w:ascii="Arial" w:eastAsia="楷体_GB2312" w:hAnsi="Arial" w:cs="Arial"/>
                <w:color w:val="000000"/>
                <w:kern w:val="0"/>
                <w:sz w:val="18"/>
                <w:szCs w:val="18"/>
              </w:rPr>
              <w:t>荐</w:t>
            </w:r>
          </w:p>
        </w:tc>
        <w:tc>
          <w:tcPr>
            <w:tcW w:w="3994"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个月内股价相对市场基准指数升幅在</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到</w:t>
            </w:r>
            <w:r w:rsidRPr="00413E06">
              <w:rPr>
                <w:rFonts w:ascii="Arial" w:eastAsia="楷体_GB2312" w:hAnsi="Arial" w:cs="Arial"/>
                <w:color w:val="000000"/>
                <w:kern w:val="0"/>
                <w:sz w:val="18"/>
                <w:szCs w:val="18"/>
              </w:rPr>
              <w:t>15%</w:t>
            </w:r>
          </w:p>
        </w:tc>
        <w:tc>
          <w:tcPr>
            <w:tcW w:w="782" w:type="dxa"/>
            <w:vAlign w:val="center"/>
          </w:tcPr>
          <w:p w:rsidR="000632C0" w:rsidRPr="00413E06" w:rsidRDefault="000632C0" w:rsidP="00AE2BEA">
            <w:pPr>
              <w:jc w:val="cente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中性</w:t>
            </w:r>
          </w:p>
        </w:tc>
        <w:tc>
          <w:tcPr>
            <w:tcW w:w="4438"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个月内行业指数相对市场指数持平</w:t>
            </w:r>
          </w:p>
        </w:tc>
      </w:tr>
      <w:tr w:rsidR="000632C0" w:rsidRPr="00413E06" w:rsidTr="00AE2BEA">
        <w:trPr>
          <w:trHeight w:val="307"/>
        </w:trPr>
        <w:tc>
          <w:tcPr>
            <w:tcW w:w="1041"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中</w:t>
            </w:r>
            <w:r w:rsidRPr="00413E06">
              <w:rPr>
                <w:rFonts w:ascii="Arial" w:eastAsia="楷体_GB2312" w:hAnsi="Arial" w:cs="Arial"/>
                <w:color w:val="000000"/>
                <w:kern w:val="0"/>
                <w:sz w:val="18"/>
                <w:szCs w:val="18"/>
              </w:rPr>
              <w:t xml:space="preserve"> </w:t>
            </w:r>
            <w:r>
              <w:rPr>
                <w:rFonts w:ascii="Arial" w:eastAsia="楷体_GB2312" w:hAnsi="Arial" w:cs="Arial" w:hint="eastAsia"/>
                <w:color w:val="000000"/>
                <w:kern w:val="0"/>
                <w:sz w:val="18"/>
                <w:szCs w:val="18"/>
              </w:rPr>
              <w:t xml:space="preserve"> </w:t>
            </w:r>
            <w:r w:rsidRPr="00413E06">
              <w:rPr>
                <w:rFonts w:ascii="Arial" w:eastAsia="楷体_GB2312" w:hAnsi="Arial" w:cs="Arial"/>
                <w:color w:val="000000"/>
                <w:kern w:val="0"/>
                <w:sz w:val="18"/>
                <w:szCs w:val="18"/>
              </w:rPr>
              <w:t xml:space="preserve">  </w:t>
            </w:r>
            <w:r w:rsidRPr="00413E06">
              <w:rPr>
                <w:rFonts w:ascii="Arial" w:eastAsia="楷体_GB2312" w:hAnsi="Arial" w:cs="Arial"/>
                <w:color w:val="000000"/>
                <w:kern w:val="0"/>
                <w:sz w:val="18"/>
                <w:szCs w:val="18"/>
              </w:rPr>
              <w:t>性</w:t>
            </w:r>
          </w:p>
        </w:tc>
        <w:tc>
          <w:tcPr>
            <w:tcW w:w="3994"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个月内股价相对市场基准指数变动在</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到</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内</w:t>
            </w:r>
          </w:p>
        </w:tc>
        <w:tc>
          <w:tcPr>
            <w:tcW w:w="782" w:type="dxa"/>
            <w:vAlign w:val="center"/>
          </w:tcPr>
          <w:p w:rsidR="000632C0" w:rsidRPr="00413E06" w:rsidRDefault="000632C0" w:rsidP="00AE2BEA">
            <w:pPr>
              <w:jc w:val="cente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看淡</w:t>
            </w:r>
          </w:p>
        </w:tc>
        <w:tc>
          <w:tcPr>
            <w:tcW w:w="4438"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个月内行业指数弱于市场指数</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以上</w:t>
            </w:r>
          </w:p>
        </w:tc>
      </w:tr>
      <w:tr w:rsidR="000632C0" w:rsidRPr="00413E06" w:rsidTr="00AE2BEA">
        <w:trPr>
          <w:trHeight w:val="293"/>
        </w:trPr>
        <w:tc>
          <w:tcPr>
            <w:tcW w:w="1041"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卖</w:t>
            </w:r>
            <w:r w:rsidRPr="00413E06">
              <w:rPr>
                <w:rFonts w:ascii="Arial" w:eastAsia="楷体_GB2312" w:hAnsi="Arial" w:cs="Arial"/>
                <w:color w:val="000000"/>
                <w:kern w:val="0"/>
                <w:sz w:val="18"/>
                <w:szCs w:val="18"/>
              </w:rPr>
              <w:t xml:space="preserve">  </w:t>
            </w:r>
            <w:r>
              <w:rPr>
                <w:rFonts w:ascii="Arial" w:eastAsia="楷体_GB2312" w:hAnsi="Arial" w:cs="Arial" w:hint="eastAsia"/>
                <w:color w:val="000000"/>
                <w:kern w:val="0"/>
                <w:sz w:val="18"/>
                <w:szCs w:val="18"/>
              </w:rPr>
              <w:t xml:space="preserve"> </w:t>
            </w:r>
            <w:r w:rsidRPr="00413E06">
              <w:rPr>
                <w:rFonts w:ascii="Arial" w:eastAsia="楷体_GB2312" w:hAnsi="Arial" w:cs="Arial"/>
                <w:color w:val="000000"/>
                <w:kern w:val="0"/>
                <w:sz w:val="18"/>
                <w:szCs w:val="18"/>
              </w:rPr>
              <w:t xml:space="preserve"> </w:t>
            </w:r>
            <w:r w:rsidRPr="00413E06">
              <w:rPr>
                <w:rFonts w:ascii="Arial" w:eastAsia="楷体_GB2312" w:hAnsi="Arial" w:cs="Arial"/>
                <w:color w:val="000000"/>
                <w:kern w:val="0"/>
                <w:sz w:val="18"/>
                <w:szCs w:val="18"/>
              </w:rPr>
              <w:t>出</w:t>
            </w:r>
          </w:p>
        </w:tc>
        <w:tc>
          <w:tcPr>
            <w:tcW w:w="3994" w:type="dxa"/>
            <w:vAlign w:val="center"/>
          </w:tcPr>
          <w:p w:rsidR="000632C0" w:rsidRPr="00413E06" w:rsidRDefault="000632C0" w:rsidP="00AE2BEA">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个月内股价相对市场基准指数跌幅在</w:t>
            </w:r>
            <w:r w:rsidRPr="00413E06">
              <w:rPr>
                <w:rFonts w:ascii="Arial" w:eastAsia="楷体_GB2312" w:hAnsi="Arial" w:cs="Arial"/>
                <w:color w:val="000000"/>
                <w:kern w:val="0"/>
                <w:sz w:val="18"/>
                <w:szCs w:val="18"/>
              </w:rPr>
              <w:t>15%</w:t>
            </w:r>
            <w:r w:rsidRPr="00413E06">
              <w:rPr>
                <w:rFonts w:ascii="Arial" w:eastAsia="楷体_GB2312" w:hAnsi="Arial" w:cs="Arial"/>
                <w:color w:val="000000"/>
                <w:kern w:val="0"/>
                <w:sz w:val="18"/>
                <w:szCs w:val="18"/>
              </w:rPr>
              <w:t>以上</w:t>
            </w:r>
          </w:p>
        </w:tc>
        <w:tc>
          <w:tcPr>
            <w:tcW w:w="782" w:type="dxa"/>
            <w:vAlign w:val="center"/>
          </w:tcPr>
          <w:p w:rsidR="000632C0" w:rsidRPr="00413E06" w:rsidRDefault="000632C0" w:rsidP="00AE2BEA">
            <w:pPr>
              <w:rPr>
                <w:rFonts w:ascii="Arial" w:eastAsia="楷体_GB2312" w:hAnsi="Arial" w:cs="Arial"/>
                <w:color w:val="000000"/>
                <w:kern w:val="0"/>
                <w:sz w:val="18"/>
                <w:szCs w:val="18"/>
              </w:rPr>
            </w:pPr>
          </w:p>
        </w:tc>
        <w:tc>
          <w:tcPr>
            <w:tcW w:w="4438" w:type="dxa"/>
            <w:vAlign w:val="center"/>
          </w:tcPr>
          <w:p w:rsidR="000632C0" w:rsidRPr="00413E06" w:rsidRDefault="000632C0" w:rsidP="00AE2BEA">
            <w:pPr>
              <w:rPr>
                <w:rFonts w:ascii="Arial" w:eastAsia="楷体_GB2312" w:hAnsi="Arial" w:cs="Arial"/>
                <w:color w:val="000000"/>
                <w:kern w:val="0"/>
                <w:sz w:val="18"/>
                <w:szCs w:val="18"/>
              </w:rPr>
            </w:pPr>
          </w:p>
        </w:tc>
      </w:tr>
    </w:tbl>
    <w:p w:rsidR="000632C0" w:rsidRDefault="000632C0" w:rsidP="000632C0"/>
    <w:p w:rsidR="000632C0" w:rsidRPr="00E25D53" w:rsidRDefault="000632C0" w:rsidP="000632C0"/>
    <w:p w:rsidR="000632C0" w:rsidRDefault="000632C0" w:rsidP="00785A2B">
      <w:pPr>
        <w:spacing w:afterLines="50"/>
        <w:rPr>
          <w:rFonts w:ascii="楷体_GB2312" w:eastAsia="楷体_GB2312" w:hAnsi="宋体"/>
          <w:b/>
          <w:sz w:val="24"/>
        </w:rPr>
      </w:pPr>
      <w:r w:rsidRPr="00AC4481">
        <w:rPr>
          <w:rFonts w:ascii="楷体_GB2312" w:eastAsia="楷体_GB2312" w:hAnsi="宋体" w:hint="eastAsia"/>
          <w:b/>
          <w:sz w:val="24"/>
        </w:rPr>
        <w:t>免责声明</w:t>
      </w:r>
    </w:p>
    <w:p w:rsidR="000632C0" w:rsidRPr="00DB4835" w:rsidRDefault="00246B63" w:rsidP="000632C0">
      <w:pPr>
        <w:rPr>
          <w:rFonts w:ascii="Arial" w:eastAsia="楷体_GB2312" w:hAnsi="Arial" w:cs="Arial"/>
          <w:sz w:val="18"/>
          <w:szCs w:val="18"/>
        </w:rPr>
      </w:pPr>
      <w:r>
        <w:rPr>
          <w:rFonts w:ascii="Arial" w:eastAsia="楷体_GB2312" w:hAnsi="Arial" w:cs="Arial" w:hint="eastAsia"/>
          <w:sz w:val="18"/>
          <w:szCs w:val="18"/>
        </w:rPr>
        <w:t>赵莎莎</w:t>
      </w:r>
      <w:r w:rsidR="000632C0" w:rsidRPr="007832BA">
        <w:rPr>
          <w:rFonts w:ascii="Arial" w:eastAsia="楷体_GB2312" w:hAnsi="Arial" w:cs="Arial" w:hint="eastAsia"/>
          <w:sz w:val="18"/>
          <w:szCs w:val="18"/>
        </w:rPr>
        <w:t>，在此声明，本人具有中国证券业协会授予的证券投资咨询执业资格并注册为证券分析师，以勤勉的职业态度，独立、客观地出具本报告。本报告清晰准确地反映了本人的研究观点。本人不曾因，不因，也将不会因本报告中的具体推荐意见或观点而直接或间接收到任何形式的补偿等。华融证券股份有限公司（已具备中国证监会批复的证券投资咨询业务资格）已在知晓范围内按照相关法律规定履行披露义务。华融证券股份有限公司（以下简称本公司）的资产管理和证券自营部门以及其他投资业务部门可能独立做出与本报告中的意见和建议不一致的投资决策。本报告仅提供给本公司客户有偿使用。本公司不会因接收人收到本报告而视其为客户。本公司会授权相关媒体刊登研究报告，但相关媒体客户并不视为本公司客户。本报告版权归本公司所有。未获得本公司书面授权，任何人不得对本报告进行任何形式的发布、复制、传播，不得以任何形式侵害该报告版权及所有相关权利。本报告中的信息、建议等均仅供本公司客户参考之用，不构成所述证券买卖的出价或征价。本报告并未考虑到客户的具体投资目的、财务状况以及特定需求，在任何时候均不构成对任何人的个人推荐。客户应当对本报告中的信息和意见进行独立评估，并应同时考量各自的投资目的、财务状况和特定需求，必要时可就研究报告相关问题咨询本公司的投资顾问。本公司市场研究部及其分析师认为本报告所载资料来源可靠，但本公司对这些信息的准确性和完整性均不作任何保证，也不承担任何投资者因使用本报告而产生的任何责任。本公司及其关联方可能会持有报告中提到的公司所发行的证券并进行交易，还可能为这些公司提供投资银行服务或其他服务，敬请投资者注意可能存在的利益冲突及由此造成的对本报告客观性的影响</w:t>
      </w:r>
      <w:r w:rsidR="000632C0" w:rsidRPr="00477C16">
        <w:rPr>
          <w:rFonts w:ascii="Arial" w:eastAsia="楷体_GB2312" w:hAnsi="Arial" w:cs="Arial" w:hint="eastAsia"/>
          <w:sz w:val="18"/>
          <w:szCs w:val="18"/>
        </w:rPr>
        <w:t>。</w:t>
      </w:r>
    </w:p>
    <w:p w:rsidR="000632C0" w:rsidRPr="00A8245F" w:rsidRDefault="000632C0" w:rsidP="000632C0">
      <w:pPr>
        <w:rPr>
          <w:rFonts w:ascii="Arial" w:eastAsia="楷体_GB2312" w:hAnsi="Arial" w:cs="Arial"/>
          <w:sz w:val="18"/>
          <w:szCs w:val="18"/>
        </w:rPr>
      </w:pPr>
    </w:p>
    <w:p w:rsidR="000632C0" w:rsidRDefault="000632C0" w:rsidP="000632C0">
      <w:pPr>
        <w:rPr>
          <w:rFonts w:ascii="Arial" w:hAnsi="Arial" w:cs="Arial"/>
          <w:b/>
          <w:color w:val="CD3300"/>
          <w:szCs w:val="21"/>
        </w:rPr>
      </w:pPr>
    </w:p>
    <w:p w:rsidR="000632C0" w:rsidRDefault="000632C0" w:rsidP="000632C0">
      <w:pPr>
        <w:rPr>
          <w:rFonts w:ascii="Arial" w:hAnsi="Arial" w:cs="Arial"/>
          <w:b/>
          <w:color w:val="CD3300"/>
          <w:szCs w:val="21"/>
        </w:rPr>
      </w:pPr>
    </w:p>
    <w:p w:rsidR="000632C0" w:rsidRPr="00413E06" w:rsidRDefault="000632C0" w:rsidP="000632C0">
      <w:pPr>
        <w:rPr>
          <w:rFonts w:ascii="Arial" w:hAnsi="Arial" w:cs="Arial"/>
          <w:b/>
          <w:color w:val="CD3300"/>
          <w:szCs w:val="21"/>
        </w:rPr>
      </w:pPr>
    </w:p>
    <w:p w:rsidR="000632C0" w:rsidRPr="00413E06" w:rsidRDefault="000632C0" w:rsidP="000632C0">
      <w:pPr>
        <w:rPr>
          <w:rFonts w:ascii="Arial" w:eastAsia="楷体_GB2312" w:hAnsi="Arial" w:cs="Arial"/>
          <w:b/>
          <w:szCs w:val="21"/>
        </w:rPr>
      </w:pPr>
      <w:r w:rsidRPr="00413E06">
        <w:rPr>
          <w:rFonts w:ascii="Arial" w:eastAsia="楷体_GB2312" w:hAnsi="Arial" w:cs="Arial"/>
          <w:b/>
          <w:szCs w:val="21"/>
        </w:rPr>
        <w:t>华融证券</w:t>
      </w:r>
      <w:r>
        <w:rPr>
          <w:rFonts w:ascii="Arial" w:eastAsia="楷体_GB2312" w:hAnsi="Arial" w:cs="Arial" w:hint="eastAsia"/>
          <w:b/>
          <w:szCs w:val="21"/>
        </w:rPr>
        <w:t>股份有限公司</w:t>
      </w:r>
      <w:r w:rsidRPr="00413E06">
        <w:rPr>
          <w:rFonts w:ascii="Arial" w:eastAsia="楷体_GB2312" w:hAnsi="Arial" w:cs="Arial"/>
          <w:b/>
          <w:szCs w:val="21"/>
        </w:rPr>
        <w:t>市场研究部</w:t>
      </w:r>
      <w:r w:rsidRPr="00413E06">
        <w:rPr>
          <w:rFonts w:ascii="Arial" w:eastAsia="楷体_GB2312" w:hAnsi="Arial" w:cs="Arial"/>
          <w:b/>
          <w:szCs w:val="21"/>
        </w:rPr>
        <w:t xml:space="preserve"> </w:t>
      </w:r>
    </w:p>
    <w:p w:rsidR="000632C0" w:rsidRPr="00413E06" w:rsidRDefault="000632C0" w:rsidP="000632C0">
      <w:pPr>
        <w:rPr>
          <w:rFonts w:ascii="Arial" w:eastAsia="楷体_GB2312" w:hAnsi="Arial" w:cs="Arial"/>
          <w:sz w:val="18"/>
          <w:szCs w:val="18"/>
        </w:rPr>
      </w:pPr>
      <w:r w:rsidRPr="00413E06">
        <w:rPr>
          <w:rFonts w:ascii="Arial" w:eastAsia="楷体_GB2312" w:hAnsi="Arial" w:cs="Arial"/>
          <w:sz w:val="18"/>
          <w:szCs w:val="18"/>
        </w:rPr>
        <w:t>地址：北京市西城区金融大街</w:t>
      </w:r>
      <w:r w:rsidRPr="00413E06">
        <w:rPr>
          <w:rFonts w:ascii="Arial" w:eastAsia="楷体_GB2312" w:hAnsi="Arial" w:cs="Arial"/>
          <w:sz w:val="18"/>
          <w:szCs w:val="18"/>
        </w:rPr>
        <w:t>8</w:t>
      </w:r>
      <w:r w:rsidRPr="00413E06">
        <w:rPr>
          <w:rFonts w:ascii="Arial" w:eastAsia="楷体_GB2312" w:hAnsi="Arial" w:cs="Arial"/>
          <w:sz w:val="18"/>
          <w:szCs w:val="18"/>
        </w:rPr>
        <w:t>号</w:t>
      </w:r>
      <w:r w:rsidRPr="00413E06">
        <w:rPr>
          <w:rFonts w:ascii="Arial" w:eastAsia="楷体_GB2312" w:hAnsi="Arial" w:cs="Arial"/>
          <w:sz w:val="18"/>
          <w:szCs w:val="18"/>
        </w:rPr>
        <w:t>A</w:t>
      </w:r>
      <w:r w:rsidRPr="00413E06">
        <w:rPr>
          <w:rFonts w:ascii="Arial" w:eastAsia="楷体_GB2312" w:hAnsi="Arial" w:cs="Arial"/>
          <w:sz w:val="18"/>
          <w:szCs w:val="18"/>
        </w:rPr>
        <w:t>座</w:t>
      </w:r>
      <w:r w:rsidRPr="00413E06">
        <w:rPr>
          <w:rFonts w:ascii="Arial" w:eastAsia="楷体_GB2312" w:hAnsi="Arial" w:cs="Arial"/>
          <w:sz w:val="18"/>
          <w:szCs w:val="18"/>
        </w:rPr>
        <w:t>5</w:t>
      </w:r>
      <w:r w:rsidRPr="00413E06">
        <w:rPr>
          <w:rFonts w:ascii="Arial" w:eastAsia="楷体_GB2312" w:hAnsi="Arial" w:cs="Arial"/>
          <w:sz w:val="18"/>
          <w:szCs w:val="18"/>
        </w:rPr>
        <w:t>层</w:t>
      </w:r>
      <w:r w:rsidRPr="00413E06">
        <w:rPr>
          <w:rFonts w:ascii="Arial" w:eastAsia="楷体_GB2312" w:hAnsi="Arial" w:cs="Arial"/>
          <w:sz w:val="18"/>
          <w:szCs w:val="18"/>
        </w:rPr>
        <w:t xml:space="preserve"> </w:t>
      </w:r>
      <w:r>
        <w:rPr>
          <w:rFonts w:ascii="Arial" w:eastAsia="楷体_GB2312" w:hAnsi="Arial" w:cs="Arial" w:hint="eastAsia"/>
          <w:sz w:val="18"/>
          <w:szCs w:val="18"/>
        </w:rPr>
        <w:t>(</w:t>
      </w:r>
      <w:r w:rsidRPr="00413E06">
        <w:rPr>
          <w:rFonts w:ascii="Arial" w:eastAsia="楷体_GB2312" w:hAnsi="Arial" w:cs="Arial"/>
          <w:sz w:val="18"/>
          <w:szCs w:val="18"/>
        </w:rPr>
        <w:t>100033</w:t>
      </w:r>
      <w:r w:rsidRPr="00413E06">
        <w:rPr>
          <w:rFonts w:ascii="Arial" w:eastAsia="楷体_GB2312" w:hAnsi="Arial" w:cs="Arial"/>
          <w:sz w:val="18"/>
          <w:szCs w:val="18"/>
        </w:rPr>
        <w:t>）</w:t>
      </w:r>
    </w:p>
    <w:p w:rsidR="000632C0" w:rsidRPr="00550389" w:rsidRDefault="000632C0" w:rsidP="000632C0">
      <w:r w:rsidRPr="00413E06">
        <w:rPr>
          <w:rFonts w:ascii="Arial" w:eastAsia="楷体_GB2312" w:hAnsi="Arial" w:cs="Arial"/>
          <w:sz w:val="18"/>
          <w:szCs w:val="18"/>
        </w:rPr>
        <w:t>传真：</w:t>
      </w:r>
      <w:r w:rsidRPr="00413E06">
        <w:rPr>
          <w:rFonts w:ascii="Arial" w:eastAsia="楷体_GB2312" w:hAnsi="Arial" w:cs="Arial"/>
          <w:sz w:val="18"/>
          <w:szCs w:val="18"/>
        </w:rPr>
        <w:t>010</w:t>
      </w:r>
      <w:r w:rsidRPr="00413E06">
        <w:rPr>
          <w:rFonts w:ascii="Arial" w:eastAsia="楷体_GB2312" w:hAnsi="Arial" w:cs="Arial"/>
          <w:sz w:val="18"/>
          <w:szCs w:val="18"/>
        </w:rPr>
        <w:t>－</w:t>
      </w:r>
      <w:r w:rsidRPr="00413E06">
        <w:rPr>
          <w:rFonts w:ascii="Arial" w:eastAsia="楷体_GB2312" w:hAnsi="Arial" w:cs="Arial"/>
          <w:sz w:val="18"/>
          <w:szCs w:val="18"/>
        </w:rPr>
        <w:t xml:space="preserve">58568159       </w:t>
      </w:r>
      <w:r w:rsidRPr="00413E06">
        <w:rPr>
          <w:rFonts w:ascii="Arial" w:eastAsia="楷体_GB2312" w:hAnsi="Arial" w:cs="Arial"/>
          <w:sz w:val="18"/>
          <w:szCs w:val="18"/>
        </w:rPr>
        <w:t>网址：</w:t>
      </w:r>
      <w:r w:rsidRPr="00413E06">
        <w:rPr>
          <w:rFonts w:ascii="Arial" w:eastAsia="楷体_GB2312" w:hAnsi="Arial" w:cs="Arial"/>
          <w:b/>
          <w:sz w:val="18"/>
          <w:szCs w:val="18"/>
        </w:rPr>
        <w:t>www.hrsec.com.cn</w:t>
      </w:r>
    </w:p>
    <w:p w:rsidR="006251CD" w:rsidRPr="000632C0" w:rsidRDefault="006251CD" w:rsidP="00C0586A">
      <w:pPr>
        <w:pStyle w:val="11"/>
        <w:spacing w:after="312"/>
      </w:pPr>
    </w:p>
    <w:sectPr w:rsidR="006251CD" w:rsidRPr="000632C0" w:rsidSect="000632C0">
      <w:pgSz w:w="11907" w:h="16443" w:code="9"/>
      <w:pgMar w:top="2336" w:right="851" w:bottom="1508" w:left="851" w:header="680" w:footer="851"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A1F" w:rsidRDefault="00BF5A1F">
      <w:r>
        <w:separator/>
      </w:r>
    </w:p>
  </w:endnote>
  <w:endnote w:type="continuationSeparator" w:id="1">
    <w:p w:rsidR="00BF5A1F" w:rsidRDefault="00BF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73" w:rsidRPr="005D4FB2" w:rsidRDefault="00C0586A" w:rsidP="00A17CC2">
    <w:pPr>
      <w:pStyle w:val="a5"/>
      <w:pBdr>
        <w:top w:val="single" w:sz="8" w:space="1" w:color="800000"/>
      </w:pBdr>
      <w:tabs>
        <w:tab w:val="clear" w:pos="4153"/>
        <w:tab w:val="clear" w:pos="8306"/>
        <w:tab w:val="right" w:pos="10205"/>
      </w:tabs>
    </w:pPr>
    <w:r w:rsidRPr="005D4FB2">
      <w:rPr>
        <w:rStyle w:val="a6"/>
        <w:rFonts w:ascii="Arial" w:hAnsi="Arial" w:cs="Arial"/>
        <w:color w:val="800000"/>
        <w:sz w:val="20"/>
        <w:szCs w:val="20"/>
      </w:rPr>
      <w:fldChar w:fldCharType="begin"/>
    </w:r>
    <w:r w:rsidR="003E7A73" w:rsidRPr="005D4FB2">
      <w:rPr>
        <w:rStyle w:val="a6"/>
        <w:rFonts w:ascii="Arial" w:hAnsi="Arial" w:cs="Arial"/>
        <w:color w:val="800000"/>
        <w:sz w:val="20"/>
        <w:szCs w:val="20"/>
      </w:rPr>
      <w:instrText xml:space="preserve">PAGE  </w:instrText>
    </w:r>
    <w:r w:rsidRPr="005D4FB2">
      <w:rPr>
        <w:rStyle w:val="a6"/>
        <w:rFonts w:ascii="Arial" w:hAnsi="Arial" w:cs="Arial"/>
        <w:color w:val="800000"/>
        <w:sz w:val="20"/>
        <w:szCs w:val="20"/>
      </w:rPr>
      <w:fldChar w:fldCharType="separate"/>
    </w:r>
    <w:r w:rsidR="000632C0">
      <w:rPr>
        <w:rStyle w:val="a6"/>
        <w:rFonts w:ascii="Arial" w:hAnsi="Arial" w:cs="Arial"/>
        <w:noProof/>
        <w:color w:val="800000"/>
        <w:sz w:val="20"/>
        <w:szCs w:val="20"/>
      </w:rPr>
      <w:t>2</w:t>
    </w:r>
    <w:r w:rsidRPr="005D4FB2">
      <w:rPr>
        <w:rStyle w:val="a6"/>
        <w:rFonts w:ascii="Arial" w:hAnsi="Arial" w:cs="Arial"/>
        <w:color w:val="800000"/>
        <w:sz w:val="20"/>
        <w:szCs w:val="20"/>
      </w:rPr>
      <w:fldChar w:fldCharType="end"/>
    </w:r>
    <w:r w:rsidR="003E7A73">
      <w:rPr>
        <w:rStyle w:val="a6"/>
        <w:rFonts w:ascii="Arial" w:hAnsi="Arial" w:cs="Arial" w:hint="eastAsia"/>
        <w:color w:val="800000"/>
        <w:sz w:val="20"/>
        <w:szCs w:val="20"/>
      </w:rPr>
      <w:tab/>
    </w:r>
    <w:r w:rsidR="003E7A73" w:rsidRPr="005D4FB2">
      <w:rPr>
        <w:rFonts w:ascii="楷体_GB2312" w:eastAsia="楷体_GB2312" w:hint="eastAsia"/>
      </w:rPr>
      <w:t>请务必阅读正文之后的免责声明部分</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73" w:rsidRPr="005D4FB2" w:rsidRDefault="003E7A73" w:rsidP="00A17CC2">
    <w:pPr>
      <w:pStyle w:val="a5"/>
      <w:pBdr>
        <w:top w:val="single" w:sz="8" w:space="1" w:color="800000"/>
      </w:pBdr>
      <w:tabs>
        <w:tab w:val="clear" w:pos="4153"/>
        <w:tab w:val="clear" w:pos="8306"/>
        <w:tab w:val="right" w:pos="10205"/>
      </w:tabs>
    </w:pPr>
    <w:r w:rsidRPr="005D4FB2">
      <w:rPr>
        <w:rFonts w:ascii="楷体_GB2312" w:eastAsia="楷体_GB2312" w:hint="eastAsia"/>
      </w:rPr>
      <w:t>请务必阅读正文之后的免责声明部分</w:t>
    </w:r>
    <w:r>
      <w:rPr>
        <w:rFonts w:ascii="楷体_GB2312" w:eastAsia="楷体_GB2312"/>
      </w:rPr>
      <w:tab/>
    </w:r>
    <w:r w:rsidR="00C0586A" w:rsidRPr="005D4FB2">
      <w:rPr>
        <w:rStyle w:val="a6"/>
        <w:rFonts w:ascii="Arial" w:hAnsi="Arial" w:cs="Arial"/>
        <w:color w:val="800000"/>
        <w:sz w:val="20"/>
        <w:szCs w:val="20"/>
      </w:rPr>
      <w:fldChar w:fldCharType="begin"/>
    </w:r>
    <w:r w:rsidRPr="005D4FB2">
      <w:rPr>
        <w:rStyle w:val="a6"/>
        <w:rFonts w:ascii="Arial" w:hAnsi="Arial" w:cs="Arial"/>
        <w:color w:val="800000"/>
        <w:sz w:val="20"/>
        <w:szCs w:val="20"/>
      </w:rPr>
      <w:instrText xml:space="preserve">PAGE  </w:instrText>
    </w:r>
    <w:r w:rsidR="00C0586A" w:rsidRPr="005D4FB2">
      <w:rPr>
        <w:rStyle w:val="a6"/>
        <w:rFonts w:ascii="Arial" w:hAnsi="Arial" w:cs="Arial"/>
        <w:color w:val="800000"/>
        <w:sz w:val="20"/>
        <w:szCs w:val="20"/>
      </w:rPr>
      <w:fldChar w:fldCharType="separate"/>
    </w:r>
    <w:r w:rsidR="00844741">
      <w:rPr>
        <w:rStyle w:val="a6"/>
        <w:rFonts w:ascii="Arial" w:hAnsi="Arial" w:cs="Arial"/>
        <w:noProof/>
        <w:color w:val="800000"/>
        <w:sz w:val="20"/>
        <w:szCs w:val="20"/>
      </w:rPr>
      <w:t>2</w:t>
    </w:r>
    <w:r w:rsidR="00C0586A" w:rsidRPr="005D4FB2">
      <w:rPr>
        <w:rStyle w:val="a6"/>
        <w:rFonts w:ascii="Arial" w:hAnsi="Arial" w:cs="Arial"/>
        <w:color w:val="800000"/>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73" w:rsidRDefault="003E7A73" w:rsidP="00545044">
    <w:pPr>
      <w:pStyle w:val="a5"/>
      <w:pBdr>
        <w:top w:val="single" w:sz="8" w:space="1" w:color="981B20"/>
      </w:pBdr>
      <w:ind w:rightChars="-13" w:right="-27"/>
    </w:pPr>
    <w:r w:rsidRPr="005D4FB2">
      <w:rPr>
        <w:rFonts w:ascii="楷体_GB2312" w:eastAsia="楷体_GB2312" w:hint="eastAsia"/>
      </w:rPr>
      <w:t>请务必阅读正文之后的免责声明部分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A1F" w:rsidRDefault="00BF5A1F">
      <w:r>
        <w:separator/>
      </w:r>
    </w:p>
  </w:footnote>
  <w:footnote w:type="continuationSeparator" w:id="1">
    <w:p w:rsidR="00BF5A1F" w:rsidRDefault="00BF5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2988"/>
      <w:gridCol w:w="7380"/>
    </w:tblGrid>
    <w:tr w:rsidR="003E7A73" w:rsidTr="003D5753">
      <w:trPr>
        <w:trHeight w:val="784"/>
      </w:trPr>
      <w:tc>
        <w:tcPr>
          <w:tcW w:w="2988" w:type="dxa"/>
          <w:vAlign w:val="bottom"/>
        </w:tcPr>
        <w:p w:rsidR="003E7A73" w:rsidRPr="00255814" w:rsidRDefault="00354F0C" w:rsidP="003D5753">
          <w:pPr>
            <w:pStyle w:val="a4"/>
            <w:pBdr>
              <w:bottom w:val="none" w:sz="0" w:space="0" w:color="auto"/>
            </w:pBdr>
            <w:tabs>
              <w:tab w:val="clear" w:pos="4153"/>
            </w:tabs>
            <w:ind w:leftChars="73" w:left="153"/>
            <w:jc w:val="both"/>
          </w:pPr>
          <w:r>
            <w:rPr>
              <w:noProof/>
            </w:rPr>
            <w:drawing>
              <wp:inline distT="0" distB="0" distL="0" distR="0">
                <wp:extent cx="1367790" cy="358140"/>
                <wp:effectExtent l="1905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367790" cy="358140"/>
                        </a:xfrm>
                        <a:prstGeom prst="rect">
                          <a:avLst/>
                        </a:prstGeom>
                        <a:noFill/>
                        <a:ln w="9525">
                          <a:noFill/>
                          <a:miter lim="800000"/>
                          <a:headEnd/>
                          <a:tailEnd/>
                        </a:ln>
                      </pic:spPr>
                    </pic:pic>
                  </a:graphicData>
                </a:graphic>
              </wp:inline>
            </w:drawing>
          </w:r>
        </w:p>
      </w:tc>
      <w:tc>
        <w:tcPr>
          <w:tcW w:w="7380" w:type="dxa"/>
          <w:vAlign w:val="bottom"/>
        </w:tcPr>
        <w:p w:rsidR="003E7A73" w:rsidRPr="00743BC1" w:rsidRDefault="00743BC1" w:rsidP="003D5753">
          <w:pPr>
            <w:pStyle w:val="a4"/>
            <w:pBdr>
              <w:bottom w:val="none" w:sz="0" w:space="0" w:color="auto"/>
            </w:pBdr>
            <w:tabs>
              <w:tab w:val="clear" w:pos="4153"/>
            </w:tabs>
            <w:jc w:val="right"/>
            <w:rPr>
              <w:rFonts w:ascii="Arial" w:eastAsia="楷体_GB2312" w:hAnsi="Arial" w:cs="Arial"/>
              <w:color w:val="981B20"/>
              <w:sz w:val="21"/>
              <w:szCs w:val="21"/>
            </w:rPr>
          </w:pPr>
          <w:r w:rsidRPr="00743BC1">
            <w:rPr>
              <w:rFonts w:ascii="Arial" w:eastAsia="楷体_GB2312" w:hAnsi="Arial" w:cs="Arial" w:hint="eastAsia"/>
              <w:color w:val="981B20"/>
              <w:sz w:val="21"/>
              <w:szCs w:val="21"/>
            </w:rPr>
            <w:t>石化行业</w:t>
          </w:r>
          <w:r w:rsidR="0036178C">
            <w:rPr>
              <w:rFonts w:ascii="Arial" w:eastAsia="楷体_GB2312" w:hAnsi="Arial" w:cs="Arial" w:hint="eastAsia"/>
              <w:color w:val="981B20"/>
              <w:sz w:val="21"/>
              <w:szCs w:val="21"/>
            </w:rPr>
            <w:t>中期</w:t>
          </w:r>
          <w:r w:rsidRPr="00743BC1">
            <w:rPr>
              <w:rFonts w:ascii="Arial" w:eastAsia="楷体_GB2312" w:hAnsi="Arial" w:cs="Arial" w:hint="eastAsia"/>
              <w:color w:val="981B20"/>
              <w:sz w:val="21"/>
              <w:szCs w:val="21"/>
            </w:rPr>
            <w:t>策略</w:t>
          </w:r>
        </w:p>
      </w:tc>
    </w:tr>
    <w:tr w:rsidR="003E7A73" w:rsidTr="003D5753">
      <w:tc>
        <w:tcPr>
          <w:tcW w:w="10368" w:type="dxa"/>
          <w:gridSpan w:val="2"/>
        </w:tcPr>
        <w:p w:rsidR="003E7A73" w:rsidRPr="00F13A97" w:rsidRDefault="00354F0C" w:rsidP="003D5753">
          <w:pPr>
            <w:pStyle w:val="a4"/>
            <w:pBdr>
              <w:bottom w:val="none" w:sz="0" w:space="0" w:color="auto"/>
            </w:pBdr>
            <w:tabs>
              <w:tab w:val="clear" w:pos="4153"/>
              <w:tab w:val="clear" w:pos="8306"/>
            </w:tabs>
            <w:adjustRightInd w:val="0"/>
            <w:jc w:val="both"/>
          </w:pPr>
          <w:r>
            <w:rPr>
              <w:noProof/>
            </w:rPr>
            <w:drawing>
              <wp:inline distT="0" distB="0" distL="0" distR="0">
                <wp:extent cx="6481445" cy="6604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6481445" cy="66040"/>
                        </a:xfrm>
                        <a:prstGeom prst="rect">
                          <a:avLst/>
                        </a:prstGeom>
                        <a:noFill/>
                        <a:ln w="9525">
                          <a:noFill/>
                          <a:miter lim="800000"/>
                          <a:headEnd/>
                          <a:tailEnd/>
                        </a:ln>
                      </pic:spPr>
                    </pic:pic>
                  </a:graphicData>
                </a:graphic>
              </wp:inline>
            </w:drawing>
          </w:r>
        </w:p>
      </w:tc>
    </w:tr>
  </w:tbl>
  <w:p w:rsidR="003E7A73" w:rsidRDefault="003E7A73" w:rsidP="00A17CC2">
    <w:pPr>
      <w:pStyle w:val="a4"/>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2988"/>
      <w:gridCol w:w="7380"/>
    </w:tblGrid>
    <w:tr w:rsidR="003E7A73">
      <w:trPr>
        <w:trHeight w:val="784"/>
      </w:trPr>
      <w:tc>
        <w:tcPr>
          <w:tcW w:w="2988" w:type="dxa"/>
          <w:vAlign w:val="bottom"/>
        </w:tcPr>
        <w:p w:rsidR="003E7A73" w:rsidRPr="00255814" w:rsidRDefault="00354F0C" w:rsidP="00103F28">
          <w:pPr>
            <w:pStyle w:val="a4"/>
            <w:pBdr>
              <w:bottom w:val="none" w:sz="0" w:space="0" w:color="auto"/>
            </w:pBdr>
            <w:tabs>
              <w:tab w:val="clear" w:pos="4153"/>
            </w:tabs>
            <w:ind w:leftChars="73" w:left="153"/>
            <w:jc w:val="both"/>
          </w:pPr>
          <w:r>
            <w:rPr>
              <w:noProof/>
            </w:rPr>
            <w:drawing>
              <wp:inline distT="0" distB="0" distL="0" distR="0">
                <wp:extent cx="1367790" cy="358140"/>
                <wp:effectExtent l="19050" t="0" r="381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367790" cy="358140"/>
                        </a:xfrm>
                        <a:prstGeom prst="rect">
                          <a:avLst/>
                        </a:prstGeom>
                        <a:noFill/>
                        <a:ln w="9525">
                          <a:noFill/>
                          <a:miter lim="800000"/>
                          <a:headEnd/>
                          <a:tailEnd/>
                        </a:ln>
                      </pic:spPr>
                    </pic:pic>
                  </a:graphicData>
                </a:graphic>
              </wp:inline>
            </w:drawing>
          </w:r>
        </w:p>
      </w:tc>
      <w:tc>
        <w:tcPr>
          <w:tcW w:w="7380" w:type="dxa"/>
          <w:vAlign w:val="bottom"/>
        </w:tcPr>
        <w:p w:rsidR="003E7A73" w:rsidRPr="0036178C" w:rsidRDefault="006401CF" w:rsidP="00C07506">
          <w:pPr>
            <w:pStyle w:val="a4"/>
            <w:pBdr>
              <w:bottom w:val="none" w:sz="0" w:space="0" w:color="auto"/>
            </w:pBdr>
            <w:tabs>
              <w:tab w:val="clear" w:pos="4153"/>
            </w:tabs>
            <w:jc w:val="right"/>
            <w:rPr>
              <w:rFonts w:ascii="Arial" w:eastAsia="楷体_GB2312" w:hAnsi="Arial" w:cs="Arial"/>
              <w:color w:val="981B20"/>
              <w:sz w:val="21"/>
              <w:szCs w:val="21"/>
            </w:rPr>
          </w:pPr>
          <w:r>
            <w:rPr>
              <w:rFonts w:ascii="Arial" w:eastAsia="楷体_GB2312" w:hAnsi="Arial" w:cs="Arial" w:hint="eastAsia"/>
              <w:color w:val="981B20"/>
              <w:sz w:val="21"/>
              <w:szCs w:val="21"/>
            </w:rPr>
            <w:t>保险行业</w:t>
          </w:r>
        </w:p>
      </w:tc>
    </w:tr>
    <w:tr w:rsidR="003E7A73">
      <w:tc>
        <w:tcPr>
          <w:tcW w:w="10368" w:type="dxa"/>
          <w:gridSpan w:val="2"/>
        </w:tcPr>
        <w:p w:rsidR="003E7A73" w:rsidRPr="00D646B5" w:rsidRDefault="00354F0C" w:rsidP="00637735">
          <w:pPr>
            <w:pStyle w:val="a4"/>
            <w:pBdr>
              <w:bottom w:val="none" w:sz="0" w:space="0" w:color="auto"/>
            </w:pBdr>
            <w:tabs>
              <w:tab w:val="clear" w:pos="4153"/>
              <w:tab w:val="clear" w:pos="8306"/>
            </w:tabs>
            <w:adjustRightInd w:val="0"/>
            <w:jc w:val="both"/>
            <w:rPr>
              <w:noProof/>
            </w:rPr>
          </w:pPr>
          <w:r>
            <w:rPr>
              <w:noProof/>
            </w:rPr>
            <w:drawing>
              <wp:inline distT="0" distB="0" distL="0" distR="0">
                <wp:extent cx="6481445" cy="6604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srcRect/>
                        <a:stretch>
                          <a:fillRect/>
                        </a:stretch>
                      </pic:blipFill>
                      <pic:spPr bwMode="auto">
                        <a:xfrm>
                          <a:off x="0" y="0"/>
                          <a:ext cx="6481445" cy="66040"/>
                        </a:xfrm>
                        <a:prstGeom prst="rect">
                          <a:avLst/>
                        </a:prstGeom>
                        <a:noFill/>
                        <a:ln w="9525">
                          <a:noFill/>
                          <a:miter lim="800000"/>
                          <a:headEnd/>
                          <a:tailEnd/>
                        </a:ln>
                      </pic:spPr>
                    </pic:pic>
                  </a:graphicData>
                </a:graphic>
              </wp:inline>
            </w:drawing>
          </w:r>
        </w:p>
      </w:tc>
    </w:tr>
  </w:tbl>
  <w:p w:rsidR="003E7A73" w:rsidRDefault="003E7A73" w:rsidP="00A17CC2">
    <w:pPr>
      <w:pStyle w:val="a4"/>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73" w:rsidRDefault="003E7A73" w:rsidP="005D59E6">
    <w:pPr>
      <w:pStyle w:val="a4"/>
      <w:pBdr>
        <w:bottom w:val="none" w:sz="0" w:space="0" w:color="auto"/>
      </w:pBdr>
      <w:adjustRightInd w:val="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37" type="#_x0000_t75" style="width:9.2pt;height:5.75pt" o:bullet="t">
        <v:imagedata r:id="rId1" o:title=""/>
      </v:shape>
    </w:pict>
  </w:numPicBullet>
  <w:numPicBullet w:numPicBulletId="1">
    <w:pict>
      <v:shape id="_x0000_i2438" type="#_x0000_t75" style="width:11.5pt;height:9.2pt" o:bullet="t">
        <v:imagedata r:id="rId2" o:title="Hualong"/>
      </v:shape>
    </w:pict>
  </w:numPicBullet>
  <w:numPicBullet w:numPicBulletId="2">
    <w:pict>
      <v:shape id="_x0000_i2439" type="#_x0000_t75" style="width:11.5pt;height:9.2pt" o:bullet="t">
        <v:imagedata r:id="rId3" o:title="Hualong"/>
      </v:shape>
    </w:pict>
  </w:numPicBullet>
  <w:numPicBullet w:numPicBulletId="3">
    <w:pict>
      <v:shape id="_x0000_i2440" type="#_x0000_t75" style="width:11.5pt;height:11.5pt" o:bullet="t">
        <v:imagedata r:id="rId4" o:title="华融证券logo3"/>
      </v:shape>
    </w:pict>
  </w:numPicBullet>
  <w:numPicBullet w:numPicBulletId="4">
    <w:pict>
      <v:shape id="_x0000_i2441" type="#_x0000_t75" style="width:76.6pt;height:77.2pt" o:bullet="t">
        <v:imagedata r:id="rId5" o:title="华融证券 z"/>
      </v:shape>
    </w:pict>
  </w:numPicBullet>
  <w:numPicBullet w:numPicBulletId="5">
    <w:pict>
      <v:shape id="_x0000_i2442" type="#_x0000_t75" style="width:353.1pt;height:355.4pt" o:bullet="t">
        <v:imagedata r:id="rId6" o:title="华融证券 z"/>
      </v:shape>
    </w:pict>
  </w:numPicBullet>
  <w:numPicBullet w:numPicBulletId="6">
    <w:pict>
      <v:shape id="_x0000_i2443" type="#_x0000_t75" style="width:11.5pt;height:11.5pt" o:bullet="t">
        <v:imagedata r:id="rId7" o:title=""/>
      </v:shape>
    </w:pict>
  </w:numPicBullet>
  <w:numPicBullet w:numPicBulletId="7">
    <w:pict>
      <v:shape id="_x0000_i2444" type="#_x0000_t75" style="width:10.35pt;height:6.9pt" o:bullet="t">
        <v:imagedata r:id="rId8" o:title=""/>
      </v:shape>
    </w:pict>
  </w:numPicBullet>
  <w:numPicBullet w:numPicBulletId="8">
    <w:pict>
      <v:shape id="_x0000_i2445" type="#_x0000_t75" style="width:11.5pt;height:9.8pt" o:bullet="t">
        <v:imagedata r:id="rId9" o:title=""/>
      </v:shape>
    </w:pict>
  </w:numPicBullet>
  <w:numPicBullet w:numPicBulletId="9">
    <w:pict>
      <v:shape id="_x0000_i2446" type="#_x0000_t75" style="width:9.8pt;height:9.8pt" o:bullet="t">
        <v:imagedata r:id="rId10" o:title=""/>
      </v:shape>
    </w:pict>
  </w:numPicBullet>
  <w:abstractNum w:abstractNumId="0">
    <w:nsid w:val="117D0A31"/>
    <w:multiLevelType w:val="hybridMultilevel"/>
    <w:tmpl w:val="974E0988"/>
    <w:lvl w:ilvl="0" w:tplc="D440419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013390"/>
    <w:multiLevelType w:val="hybridMultilevel"/>
    <w:tmpl w:val="F45CEE14"/>
    <w:lvl w:ilvl="0" w:tplc="993073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C57FE5"/>
    <w:multiLevelType w:val="hybridMultilevel"/>
    <w:tmpl w:val="B616D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6966BA"/>
    <w:multiLevelType w:val="hybridMultilevel"/>
    <w:tmpl w:val="614AC0DE"/>
    <w:lvl w:ilvl="0" w:tplc="86DC31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7B6465"/>
    <w:multiLevelType w:val="hybridMultilevel"/>
    <w:tmpl w:val="B67AEA62"/>
    <w:lvl w:ilvl="0" w:tplc="6E52D9CA">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541C0774"/>
    <w:multiLevelType w:val="hybridMultilevel"/>
    <w:tmpl w:val="9DCC0664"/>
    <w:lvl w:ilvl="0" w:tplc="89A87F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A6E6D3F"/>
    <w:multiLevelType w:val="hybridMultilevel"/>
    <w:tmpl w:val="7FDECABA"/>
    <w:lvl w:ilvl="0" w:tplc="2FD09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331587"/>
    <w:multiLevelType w:val="hybridMultilevel"/>
    <w:tmpl w:val="1E9A49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706F44"/>
    <w:multiLevelType w:val="hybridMultilevel"/>
    <w:tmpl w:val="B4324E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4"/>
  </w:num>
  <w:num w:numId="5">
    <w:abstractNumId w:val="7"/>
  </w:num>
  <w:num w:numId="6">
    <w:abstractNumId w:val="6"/>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1802"/>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colormru v:ext="edit" colors="#b2b2b2,#dadada,#eaeaea,#981b2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B5F"/>
    <w:rsid w:val="0000009E"/>
    <w:rsid w:val="00000E54"/>
    <w:rsid w:val="00001B03"/>
    <w:rsid w:val="00001CE2"/>
    <w:rsid w:val="00002548"/>
    <w:rsid w:val="00005C75"/>
    <w:rsid w:val="00007297"/>
    <w:rsid w:val="00007A1C"/>
    <w:rsid w:val="00007A27"/>
    <w:rsid w:val="00010424"/>
    <w:rsid w:val="000106C5"/>
    <w:rsid w:val="00010B30"/>
    <w:rsid w:val="000114A8"/>
    <w:rsid w:val="00013EAC"/>
    <w:rsid w:val="00017567"/>
    <w:rsid w:val="000175DA"/>
    <w:rsid w:val="00020122"/>
    <w:rsid w:val="0002040C"/>
    <w:rsid w:val="0002172B"/>
    <w:rsid w:val="00021D6D"/>
    <w:rsid w:val="00022171"/>
    <w:rsid w:val="00022630"/>
    <w:rsid w:val="00023A3D"/>
    <w:rsid w:val="00025580"/>
    <w:rsid w:val="00025CBE"/>
    <w:rsid w:val="000266F0"/>
    <w:rsid w:val="000278EE"/>
    <w:rsid w:val="00027B5F"/>
    <w:rsid w:val="0003076E"/>
    <w:rsid w:val="00032AEB"/>
    <w:rsid w:val="00033C56"/>
    <w:rsid w:val="0003591E"/>
    <w:rsid w:val="00036028"/>
    <w:rsid w:val="00040295"/>
    <w:rsid w:val="000402E7"/>
    <w:rsid w:val="00041A0F"/>
    <w:rsid w:val="00041F7D"/>
    <w:rsid w:val="00042291"/>
    <w:rsid w:val="00043E9F"/>
    <w:rsid w:val="0004596E"/>
    <w:rsid w:val="000477A3"/>
    <w:rsid w:val="00047CC6"/>
    <w:rsid w:val="00051E9F"/>
    <w:rsid w:val="000558A2"/>
    <w:rsid w:val="00056649"/>
    <w:rsid w:val="0006044D"/>
    <w:rsid w:val="00060ECD"/>
    <w:rsid w:val="000615DC"/>
    <w:rsid w:val="00062678"/>
    <w:rsid w:val="000632C0"/>
    <w:rsid w:val="00064595"/>
    <w:rsid w:val="00064BE4"/>
    <w:rsid w:val="0006571D"/>
    <w:rsid w:val="000668FB"/>
    <w:rsid w:val="00066AD1"/>
    <w:rsid w:val="00070CEF"/>
    <w:rsid w:val="000713A2"/>
    <w:rsid w:val="0007148A"/>
    <w:rsid w:val="00071F3E"/>
    <w:rsid w:val="00072684"/>
    <w:rsid w:val="000729B3"/>
    <w:rsid w:val="0007350C"/>
    <w:rsid w:val="000745B2"/>
    <w:rsid w:val="00074D56"/>
    <w:rsid w:val="000767CD"/>
    <w:rsid w:val="00076A53"/>
    <w:rsid w:val="00076BCB"/>
    <w:rsid w:val="00081491"/>
    <w:rsid w:val="00081CC6"/>
    <w:rsid w:val="00083995"/>
    <w:rsid w:val="00083E8A"/>
    <w:rsid w:val="00084D53"/>
    <w:rsid w:val="00084DF4"/>
    <w:rsid w:val="0008529B"/>
    <w:rsid w:val="0008674A"/>
    <w:rsid w:val="0008685C"/>
    <w:rsid w:val="00086CD5"/>
    <w:rsid w:val="000870A7"/>
    <w:rsid w:val="00087376"/>
    <w:rsid w:val="0008795E"/>
    <w:rsid w:val="00087B49"/>
    <w:rsid w:val="00087EBB"/>
    <w:rsid w:val="00090089"/>
    <w:rsid w:val="000914F0"/>
    <w:rsid w:val="000933C4"/>
    <w:rsid w:val="00093442"/>
    <w:rsid w:val="00093A02"/>
    <w:rsid w:val="00094048"/>
    <w:rsid w:val="00094EEA"/>
    <w:rsid w:val="00095810"/>
    <w:rsid w:val="00095AEC"/>
    <w:rsid w:val="0009665C"/>
    <w:rsid w:val="000A1E05"/>
    <w:rsid w:val="000A29A8"/>
    <w:rsid w:val="000A2B99"/>
    <w:rsid w:val="000A39B6"/>
    <w:rsid w:val="000A3CB2"/>
    <w:rsid w:val="000A3E41"/>
    <w:rsid w:val="000A4164"/>
    <w:rsid w:val="000A4A67"/>
    <w:rsid w:val="000A7CE8"/>
    <w:rsid w:val="000B3AE8"/>
    <w:rsid w:val="000B3E52"/>
    <w:rsid w:val="000B5B2F"/>
    <w:rsid w:val="000B62D1"/>
    <w:rsid w:val="000B6888"/>
    <w:rsid w:val="000B7540"/>
    <w:rsid w:val="000C0F2B"/>
    <w:rsid w:val="000C1476"/>
    <w:rsid w:val="000C2067"/>
    <w:rsid w:val="000C2496"/>
    <w:rsid w:val="000C3E14"/>
    <w:rsid w:val="000C3E44"/>
    <w:rsid w:val="000C424A"/>
    <w:rsid w:val="000C5872"/>
    <w:rsid w:val="000C5BBF"/>
    <w:rsid w:val="000C5E17"/>
    <w:rsid w:val="000C6CCB"/>
    <w:rsid w:val="000D5996"/>
    <w:rsid w:val="000D5C5E"/>
    <w:rsid w:val="000D6764"/>
    <w:rsid w:val="000D756D"/>
    <w:rsid w:val="000D77AD"/>
    <w:rsid w:val="000D7D01"/>
    <w:rsid w:val="000E2B35"/>
    <w:rsid w:val="000E2D17"/>
    <w:rsid w:val="000E34EF"/>
    <w:rsid w:val="000E39C9"/>
    <w:rsid w:val="000E4D7B"/>
    <w:rsid w:val="000E78C8"/>
    <w:rsid w:val="000E7DD1"/>
    <w:rsid w:val="000F0318"/>
    <w:rsid w:val="000F06E3"/>
    <w:rsid w:val="000F1031"/>
    <w:rsid w:val="000F1EAE"/>
    <w:rsid w:val="000F27AD"/>
    <w:rsid w:val="000F5066"/>
    <w:rsid w:val="000F5FA8"/>
    <w:rsid w:val="000F60E3"/>
    <w:rsid w:val="000F6416"/>
    <w:rsid w:val="00100F04"/>
    <w:rsid w:val="001027A6"/>
    <w:rsid w:val="00103015"/>
    <w:rsid w:val="00103F28"/>
    <w:rsid w:val="00104767"/>
    <w:rsid w:val="001052E7"/>
    <w:rsid w:val="00106798"/>
    <w:rsid w:val="00106C88"/>
    <w:rsid w:val="00106C93"/>
    <w:rsid w:val="001075DF"/>
    <w:rsid w:val="00111021"/>
    <w:rsid w:val="00111FAE"/>
    <w:rsid w:val="00113C14"/>
    <w:rsid w:val="00113F9B"/>
    <w:rsid w:val="00114016"/>
    <w:rsid w:val="0011722B"/>
    <w:rsid w:val="00122C6D"/>
    <w:rsid w:val="001245B0"/>
    <w:rsid w:val="001257D2"/>
    <w:rsid w:val="0012613B"/>
    <w:rsid w:val="0013139F"/>
    <w:rsid w:val="0013255A"/>
    <w:rsid w:val="00134334"/>
    <w:rsid w:val="0013490D"/>
    <w:rsid w:val="0013571C"/>
    <w:rsid w:val="00135CCB"/>
    <w:rsid w:val="00135E7A"/>
    <w:rsid w:val="00136503"/>
    <w:rsid w:val="001370CC"/>
    <w:rsid w:val="00137A08"/>
    <w:rsid w:val="00140904"/>
    <w:rsid w:val="00140D64"/>
    <w:rsid w:val="00141ABD"/>
    <w:rsid w:val="00141CC8"/>
    <w:rsid w:val="00143DBB"/>
    <w:rsid w:val="001520E7"/>
    <w:rsid w:val="001525D3"/>
    <w:rsid w:val="001534F4"/>
    <w:rsid w:val="0015357E"/>
    <w:rsid w:val="00153B06"/>
    <w:rsid w:val="00153B99"/>
    <w:rsid w:val="00154748"/>
    <w:rsid w:val="00154EC7"/>
    <w:rsid w:val="00160367"/>
    <w:rsid w:val="0016223A"/>
    <w:rsid w:val="001757DD"/>
    <w:rsid w:val="00175BEA"/>
    <w:rsid w:val="001763B7"/>
    <w:rsid w:val="00177585"/>
    <w:rsid w:val="00181FF5"/>
    <w:rsid w:val="0018375A"/>
    <w:rsid w:val="0018515A"/>
    <w:rsid w:val="0018538D"/>
    <w:rsid w:val="00185CAF"/>
    <w:rsid w:val="0018718C"/>
    <w:rsid w:val="001879D7"/>
    <w:rsid w:val="00187DCE"/>
    <w:rsid w:val="00191107"/>
    <w:rsid w:val="00191338"/>
    <w:rsid w:val="00192FE7"/>
    <w:rsid w:val="001930D7"/>
    <w:rsid w:val="00193484"/>
    <w:rsid w:val="001A1719"/>
    <w:rsid w:val="001A1FF6"/>
    <w:rsid w:val="001A3294"/>
    <w:rsid w:val="001A438B"/>
    <w:rsid w:val="001A44F6"/>
    <w:rsid w:val="001A5441"/>
    <w:rsid w:val="001A5DE1"/>
    <w:rsid w:val="001A6AD4"/>
    <w:rsid w:val="001A73B3"/>
    <w:rsid w:val="001B025F"/>
    <w:rsid w:val="001B1B0A"/>
    <w:rsid w:val="001B1B8B"/>
    <w:rsid w:val="001B299D"/>
    <w:rsid w:val="001B3576"/>
    <w:rsid w:val="001B42FB"/>
    <w:rsid w:val="001B4EE3"/>
    <w:rsid w:val="001B6019"/>
    <w:rsid w:val="001B6D9E"/>
    <w:rsid w:val="001C08B0"/>
    <w:rsid w:val="001C0B06"/>
    <w:rsid w:val="001C0F47"/>
    <w:rsid w:val="001C1420"/>
    <w:rsid w:val="001C18A1"/>
    <w:rsid w:val="001C19B7"/>
    <w:rsid w:val="001C1FFA"/>
    <w:rsid w:val="001C3DC1"/>
    <w:rsid w:val="001C4417"/>
    <w:rsid w:val="001C46E5"/>
    <w:rsid w:val="001C5296"/>
    <w:rsid w:val="001C6EC5"/>
    <w:rsid w:val="001C7733"/>
    <w:rsid w:val="001D050E"/>
    <w:rsid w:val="001D0812"/>
    <w:rsid w:val="001D0B26"/>
    <w:rsid w:val="001D174E"/>
    <w:rsid w:val="001D4188"/>
    <w:rsid w:val="001D517C"/>
    <w:rsid w:val="001D68F7"/>
    <w:rsid w:val="001E0445"/>
    <w:rsid w:val="001E0BBE"/>
    <w:rsid w:val="001E0DEE"/>
    <w:rsid w:val="001E1452"/>
    <w:rsid w:val="001E1C36"/>
    <w:rsid w:val="001E21BF"/>
    <w:rsid w:val="001E25DE"/>
    <w:rsid w:val="001E25F9"/>
    <w:rsid w:val="001E2F29"/>
    <w:rsid w:val="001E62D9"/>
    <w:rsid w:val="001E6CE5"/>
    <w:rsid w:val="001F0D0A"/>
    <w:rsid w:val="001F109B"/>
    <w:rsid w:val="001F1B9F"/>
    <w:rsid w:val="001F2BE2"/>
    <w:rsid w:val="001F2C16"/>
    <w:rsid w:val="001F3D6A"/>
    <w:rsid w:val="001F568B"/>
    <w:rsid w:val="001F5E4E"/>
    <w:rsid w:val="001F77E0"/>
    <w:rsid w:val="00201B21"/>
    <w:rsid w:val="00204F54"/>
    <w:rsid w:val="00205096"/>
    <w:rsid w:val="002052B1"/>
    <w:rsid w:val="00206B5C"/>
    <w:rsid w:val="00206BB9"/>
    <w:rsid w:val="002117F5"/>
    <w:rsid w:val="00211AF9"/>
    <w:rsid w:val="00211B26"/>
    <w:rsid w:val="002137D8"/>
    <w:rsid w:val="00214C8A"/>
    <w:rsid w:val="002168A2"/>
    <w:rsid w:val="002173AC"/>
    <w:rsid w:val="00217AE7"/>
    <w:rsid w:val="002216AF"/>
    <w:rsid w:val="00221BE7"/>
    <w:rsid w:val="00222293"/>
    <w:rsid w:val="002226DE"/>
    <w:rsid w:val="0022395E"/>
    <w:rsid w:val="0022406A"/>
    <w:rsid w:val="00224E82"/>
    <w:rsid w:val="0022589F"/>
    <w:rsid w:val="00225C31"/>
    <w:rsid w:val="00226333"/>
    <w:rsid w:val="00230D01"/>
    <w:rsid w:val="002323B7"/>
    <w:rsid w:val="002327FD"/>
    <w:rsid w:val="00232C2E"/>
    <w:rsid w:val="00233DF8"/>
    <w:rsid w:val="00234B85"/>
    <w:rsid w:val="00235691"/>
    <w:rsid w:val="002357A8"/>
    <w:rsid w:val="00236471"/>
    <w:rsid w:val="00240A22"/>
    <w:rsid w:val="00240CC8"/>
    <w:rsid w:val="00241790"/>
    <w:rsid w:val="00241B16"/>
    <w:rsid w:val="00244D09"/>
    <w:rsid w:val="00244EB2"/>
    <w:rsid w:val="00245041"/>
    <w:rsid w:val="002461AC"/>
    <w:rsid w:val="002462AF"/>
    <w:rsid w:val="00246B63"/>
    <w:rsid w:val="00250F22"/>
    <w:rsid w:val="002541DF"/>
    <w:rsid w:val="00254503"/>
    <w:rsid w:val="002548C7"/>
    <w:rsid w:val="00255814"/>
    <w:rsid w:val="00255F35"/>
    <w:rsid w:val="00257ADE"/>
    <w:rsid w:val="00260B29"/>
    <w:rsid w:val="00260E48"/>
    <w:rsid w:val="0026101D"/>
    <w:rsid w:val="0026234B"/>
    <w:rsid w:val="00263DB5"/>
    <w:rsid w:val="0026640F"/>
    <w:rsid w:val="00266CDB"/>
    <w:rsid w:val="002673A4"/>
    <w:rsid w:val="002708F9"/>
    <w:rsid w:val="002712C0"/>
    <w:rsid w:val="002727CB"/>
    <w:rsid w:val="00273AD5"/>
    <w:rsid w:val="00274323"/>
    <w:rsid w:val="00275708"/>
    <w:rsid w:val="0027590B"/>
    <w:rsid w:val="002760BC"/>
    <w:rsid w:val="00276136"/>
    <w:rsid w:val="002764AB"/>
    <w:rsid w:val="00277182"/>
    <w:rsid w:val="002777CE"/>
    <w:rsid w:val="00280BC7"/>
    <w:rsid w:val="002852F5"/>
    <w:rsid w:val="00285955"/>
    <w:rsid w:val="0028628D"/>
    <w:rsid w:val="0028651C"/>
    <w:rsid w:val="00287314"/>
    <w:rsid w:val="00287C7A"/>
    <w:rsid w:val="00292247"/>
    <w:rsid w:val="00292832"/>
    <w:rsid w:val="0029449E"/>
    <w:rsid w:val="002957DA"/>
    <w:rsid w:val="002A0BF0"/>
    <w:rsid w:val="002A1438"/>
    <w:rsid w:val="002A245C"/>
    <w:rsid w:val="002A38AF"/>
    <w:rsid w:val="002A46B7"/>
    <w:rsid w:val="002A47FA"/>
    <w:rsid w:val="002A4DAF"/>
    <w:rsid w:val="002A58A6"/>
    <w:rsid w:val="002B1A3F"/>
    <w:rsid w:val="002B27FC"/>
    <w:rsid w:val="002B2DA1"/>
    <w:rsid w:val="002B3C72"/>
    <w:rsid w:val="002B3E27"/>
    <w:rsid w:val="002B3E89"/>
    <w:rsid w:val="002B41D1"/>
    <w:rsid w:val="002B5B27"/>
    <w:rsid w:val="002B5C01"/>
    <w:rsid w:val="002B6D78"/>
    <w:rsid w:val="002C2012"/>
    <w:rsid w:val="002C21B1"/>
    <w:rsid w:val="002C21D3"/>
    <w:rsid w:val="002C3FC7"/>
    <w:rsid w:val="002D037E"/>
    <w:rsid w:val="002D14C6"/>
    <w:rsid w:val="002D18D8"/>
    <w:rsid w:val="002D1D57"/>
    <w:rsid w:val="002D2B1F"/>
    <w:rsid w:val="002D35FF"/>
    <w:rsid w:val="002D3FAA"/>
    <w:rsid w:val="002D472B"/>
    <w:rsid w:val="002D4A9A"/>
    <w:rsid w:val="002D51EC"/>
    <w:rsid w:val="002D5540"/>
    <w:rsid w:val="002D55D0"/>
    <w:rsid w:val="002D5867"/>
    <w:rsid w:val="002D7F71"/>
    <w:rsid w:val="002D7F8C"/>
    <w:rsid w:val="002E1C96"/>
    <w:rsid w:val="002E1F39"/>
    <w:rsid w:val="002E3392"/>
    <w:rsid w:val="002E7CEC"/>
    <w:rsid w:val="002F0026"/>
    <w:rsid w:val="002F1828"/>
    <w:rsid w:val="002F198A"/>
    <w:rsid w:val="002F1ED8"/>
    <w:rsid w:val="002F2926"/>
    <w:rsid w:val="002F2960"/>
    <w:rsid w:val="002F2D4C"/>
    <w:rsid w:val="002F377E"/>
    <w:rsid w:val="002F4D6C"/>
    <w:rsid w:val="002F58F6"/>
    <w:rsid w:val="002F5C7B"/>
    <w:rsid w:val="00303F23"/>
    <w:rsid w:val="00305509"/>
    <w:rsid w:val="00306FB6"/>
    <w:rsid w:val="00307384"/>
    <w:rsid w:val="00307956"/>
    <w:rsid w:val="00307CEF"/>
    <w:rsid w:val="00312230"/>
    <w:rsid w:val="00313413"/>
    <w:rsid w:val="00313D81"/>
    <w:rsid w:val="0031429D"/>
    <w:rsid w:val="0031503A"/>
    <w:rsid w:val="00317288"/>
    <w:rsid w:val="00317AF3"/>
    <w:rsid w:val="00321CC4"/>
    <w:rsid w:val="0032218F"/>
    <w:rsid w:val="00323EDB"/>
    <w:rsid w:val="00324022"/>
    <w:rsid w:val="0032555E"/>
    <w:rsid w:val="0033099A"/>
    <w:rsid w:val="00331519"/>
    <w:rsid w:val="00331FCF"/>
    <w:rsid w:val="003325F8"/>
    <w:rsid w:val="00333277"/>
    <w:rsid w:val="00333339"/>
    <w:rsid w:val="00333DD2"/>
    <w:rsid w:val="00334449"/>
    <w:rsid w:val="00335D9B"/>
    <w:rsid w:val="0034089E"/>
    <w:rsid w:val="00341C63"/>
    <w:rsid w:val="00343586"/>
    <w:rsid w:val="00345018"/>
    <w:rsid w:val="0034710D"/>
    <w:rsid w:val="00347404"/>
    <w:rsid w:val="003500C1"/>
    <w:rsid w:val="00350F5E"/>
    <w:rsid w:val="003518B6"/>
    <w:rsid w:val="00352123"/>
    <w:rsid w:val="0035243F"/>
    <w:rsid w:val="003524BC"/>
    <w:rsid w:val="0035290F"/>
    <w:rsid w:val="00353B73"/>
    <w:rsid w:val="00354F0C"/>
    <w:rsid w:val="0035592A"/>
    <w:rsid w:val="00355F51"/>
    <w:rsid w:val="0035749E"/>
    <w:rsid w:val="00357CF1"/>
    <w:rsid w:val="003605A1"/>
    <w:rsid w:val="003609DA"/>
    <w:rsid w:val="00360F0E"/>
    <w:rsid w:val="0036178C"/>
    <w:rsid w:val="003625CB"/>
    <w:rsid w:val="00363023"/>
    <w:rsid w:val="003639A9"/>
    <w:rsid w:val="003649D5"/>
    <w:rsid w:val="003653EE"/>
    <w:rsid w:val="00365FBE"/>
    <w:rsid w:val="003669BE"/>
    <w:rsid w:val="00371AB3"/>
    <w:rsid w:val="003729A5"/>
    <w:rsid w:val="00373643"/>
    <w:rsid w:val="00376D2F"/>
    <w:rsid w:val="003771B2"/>
    <w:rsid w:val="0037738F"/>
    <w:rsid w:val="003803EB"/>
    <w:rsid w:val="00382C6F"/>
    <w:rsid w:val="003841AC"/>
    <w:rsid w:val="00385ACC"/>
    <w:rsid w:val="00386405"/>
    <w:rsid w:val="00390BA9"/>
    <w:rsid w:val="0039105A"/>
    <w:rsid w:val="003917D3"/>
    <w:rsid w:val="0039219E"/>
    <w:rsid w:val="00392A17"/>
    <w:rsid w:val="00392B15"/>
    <w:rsid w:val="00394990"/>
    <w:rsid w:val="003A061C"/>
    <w:rsid w:val="003A32DE"/>
    <w:rsid w:val="003A3379"/>
    <w:rsid w:val="003A34BC"/>
    <w:rsid w:val="003A517C"/>
    <w:rsid w:val="003A5949"/>
    <w:rsid w:val="003A743A"/>
    <w:rsid w:val="003A7CDF"/>
    <w:rsid w:val="003B0E5F"/>
    <w:rsid w:val="003B0E80"/>
    <w:rsid w:val="003B1039"/>
    <w:rsid w:val="003B1D4D"/>
    <w:rsid w:val="003B2371"/>
    <w:rsid w:val="003B49F1"/>
    <w:rsid w:val="003B56CC"/>
    <w:rsid w:val="003B5B76"/>
    <w:rsid w:val="003B682D"/>
    <w:rsid w:val="003B6F2F"/>
    <w:rsid w:val="003B708E"/>
    <w:rsid w:val="003B7627"/>
    <w:rsid w:val="003C05CB"/>
    <w:rsid w:val="003C1115"/>
    <w:rsid w:val="003C27B1"/>
    <w:rsid w:val="003C42DD"/>
    <w:rsid w:val="003D1B8A"/>
    <w:rsid w:val="003D24F3"/>
    <w:rsid w:val="003D2BFA"/>
    <w:rsid w:val="003D4715"/>
    <w:rsid w:val="003D5753"/>
    <w:rsid w:val="003D64BE"/>
    <w:rsid w:val="003D685C"/>
    <w:rsid w:val="003D6E3B"/>
    <w:rsid w:val="003D6EBB"/>
    <w:rsid w:val="003E0287"/>
    <w:rsid w:val="003E15CB"/>
    <w:rsid w:val="003E19A7"/>
    <w:rsid w:val="003E1FB7"/>
    <w:rsid w:val="003E202C"/>
    <w:rsid w:val="003E30E4"/>
    <w:rsid w:val="003E3812"/>
    <w:rsid w:val="003E67B5"/>
    <w:rsid w:val="003E684A"/>
    <w:rsid w:val="003E79D6"/>
    <w:rsid w:val="003E7A73"/>
    <w:rsid w:val="003E7A8C"/>
    <w:rsid w:val="003F013E"/>
    <w:rsid w:val="003F077C"/>
    <w:rsid w:val="003F124D"/>
    <w:rsid w:val="003F2660"/>
    <w:rsid w:val="003F2A14"/>
    <w:rsid w:val="003F2B16"/>
    <w:rsid w:val="003F2EAB"/>
    <w:rsid w:val="003F3017"/>
    <w:rsid w:val="003F30B8"/>
    <w:rsid w:val="003F522B"/>
    <w:rsid w:val="003F6D87"/>
    <w:rsid w:val="003F70F1"/>
    <w:rsid w:val="003F72C2"/>
    <w:rsid w:val="003F7495"/>
    <w:rsid w:val="003F74EE"/>
    <w:rsid w:val="004010DA"/>
    <w:rsid w:val="004011DE"/>
    <w:rsid w:val="004018F4"/>
    <w:rsid w:val="00401AFF"/>
    <w:rsid w:val="00403024"/>
    <w:rsid w:val="0040433F"/>
    <w:rsid w:val="00404367"/>
    <w:rsid w:val="00404CB0"/>
    <w:rsid w:val="00404D9A"/>
    <w:rsid w:val="00404FBA"/>
    <w:rsid w:val="00405CC5"/>
    <w:rsid w:val="00405D95"/>
    <w:rsid w:val="004075A0"/>
    <w:rsid w:val="00407D61"/>
    <w:rsid w:val="004100CE"/>
    <w:rsid w:val="00410CA7"/>
    <w:rsid w:val="004113A5"/>
    <w:rsid w:val="004113F5"/>
    <w:rsid w:val="00412B21"/>
    <w:rsid w:val="00412C50"/>
    <w:rsid w:val="00413984"/>
    <w:rsid w:val="00413B46"/>
    <w:rsid w:val="00414779"/>
    <w:rsid w:val="00414877"/>
    <w:rsid w:val="004166B0"/>
    <w:rsid w:val="004174D7"/>
    <w:rsid w:val="004233C7"/>
    <w:rsid w:val="004249C3"/>
    <w:rsid w:val="00426896"/>
    <w:rsid w:val="00426A41"/>
    <w:rsid w:val="00426F2E"/>
    <w:rsid w:val="004307EE"/>
    <w:rsid w:val="00430831"/>
    <w:rsid w:val="00430B2D"/>
    <w:rsid w:val="004333C0"/>
    <w:rsid w:val="004334B7"/>
    <w:rsid w:val="004339E8"/>
    <w:rsid w:val="00434E69"/>
    <w:rsid w:val="0043776A"/>
    <w:rsid w:val="00437943"/>
    <w:rsid w:val="0044050F"/>
    <w:rsid w:val="00440C2A"/>
    <w:rsid w:val="00440E34"/>
    <w:rsid w:val="00441001"/>
    <w:rsid w:val="004423A2"/>
    <w:rsid w:val="0044281D"/>
    <w:rsid w:val="00442E9E"/>
    <w:rsid w:val="0044330C"/>
    <w:rsid w:val="00443D86"/>
    <w:rsid w:val="004442DC"/>
    <w:rsid w:val="00446B34"/>
    <w:rsid w:val="00446F53"/>
    <w:rsid w:val="00450AE1"/>
    <w:rsid w:val="00451656"/>
    <w:rsid w:val="00451666"/>
    <w:rsid w:val="0045253E"/>
    <w:rsid w:val="00453224"/>
    <w:rsid w:val="00453900"/>
    <w:rsid w:val="00454075"/>
    <w:rsid w:val="00454399"/>
    <w:rsid w:val="004543D9"/>
    <w:rsid w:val="00455FB9"/>
    <w:rsid w:val="00456A2A"/>
    <w:rsid w:val="0045708F"/>
    <w:rsid w:val="004571E1"/>
    <w:rsid w:val="004573DC"/>
    <w:rsid w:val="00457F36"/>
    <w:rsid w:val="00461894"/>
    <w:rsid w:val="00461C48"/>
    <w:rsid w:val="00461DC2"/>
    <w:rsid w:val="004637A9"/>
    <w:rsid w:val="00463B85"/>
    <w:rsid w:val="00465A35"/>
    <w:rsid w:val="00466ED9"/>
    <w:rsid w:val="00467826"/>
    <w:rsid w:val="00470E73"/>
    <w:rsid w:val="0047128E"/>
    <w:rsid w:val="00475F19"/>
    <w:rsid w:val="004779C6"/>
    <w:rsid w:val="00477FC3"/>
    <w:rsid w:val="004825C8"/>
    <w:rsid w:val="0048396F"/>
    <w:rsid w:val="0048678D"/>
    <w:rsid w:val="00486F72"/>
    <w:rsid w:val="0048787F"/>
    <w:rsid w:val="00487F89"/>
    <w:rsid w:val="00490300"/>
    <w:rsid w:val="00491974"/>
    <w:rsid w:val="004924E5"/>
    <w:rsid w:val="00493433"/>
    <w:rsid w:val="004942AD"/>
    <w:rsid w:val="004951E7"/>
    <w:rsid w:val="00496026"/>
    <w:rsid w:val="00497FD5"/>
    <w:rsid w:val="004A00C1"/>
    <w:rsid w:val="004A1429"/>
    <w:rsid w:val="004A232E"/>
    <w:rsid w:val="004A2DA0"/>
    <w:rsid w:val="004A3306"/>
    <w:rsid w:val="004A38F1"/>
    <w:rsid w:val="004A41F6"/>
    <w:rsid w:val="004A45CB"/>
    <w:rsid w:val="004A4DC6"/>
    <w:rsid w:val="004A4F34"/>
    <w:rsid w:val="004A5BCF"/>
    <w:rsid w:val="004A621A"/>
    <w:rsid w:val="004A7005"/>
    <w:rsid w:val="004B03DF"/>
    <w:rsid w:val="004B3AFD"/>
    <w:rsid w:val="004B4D19"/>
    <w:rsid w:val="004B63F0"/>
    <w:rsid w:val="004B6D99"/>
    <w:rsid w:val="004C0B4B"/>
    <w:rsid w:val="004C130A"/>
    <w:rsid w:val="004C1CD7"/>
    <w:rsid w:val="004C2BA8"/>
    <w:rsid w:val="004C34D6"/>
    <w:rsid w:val="004C3B97"/>
    <w:rsid w:val="004C4C26"/>
    <w:rsid w:val="004C5229"/>
    <w:rsid w:val="004C5423"/>
    <w:rsid w:val="004C6F01"/>
    <w:rsid w:val="004D0CA5"/>
    <w:rsid w:val="004D17D4"/>
    <w:rsid w:val="004D6EAD"/>
    <w:rsid w:val="004E0730"/>
    <w:rsid w:val="004E0A86"/>
    <w:rsid w:val="004E1BE7"/>
    <w:rsid w:val="004E43C9"/>
    <w:rsid w:val="004E5487"/>
    <w:rsid w:val="004E56F7"/>
    <w:rsid w:val="004E64DB"/>
    <w:rsid w:val="004E6646"/>
    <w:rsid w:val="004E6961"/>
    <w:rsid w:val="004E69A0"/>
    <w:rsid w:val="004E7E6B"/>
    <w:rsid w:val="004F0632"/>
    <w:rsid w:val="004F10CE"/>
    <w:rsid w:val="004F2C82"/>
    <w:rsid w:val="004F2D30"/>
    <w:rsid w:val="004F4193"/>
    <w:rsid w:val="004F57B3"/>
    <w:rsid w:val="004F620F"/>
    <w:rsid w:val="004F6875"/>
    <w:rsid w:val="004F722F"/>
    <w:rsid w:val="004F7F0E"/>
    <w:rsid w:val="00500175"/>
    <w:rsid w:val="005005D9"/>
    <w:rsid w:val="0050172D"/>
    <w:rsid w:val="005028A0"/>
    <w:rsid w:val="00504463"/>
    <w:rsid w:val="0050598B"/>
    <w:rsid w:val="00505A3A"/>
    <w:rsid w:val="0050739E"/>
    <w:rsid w:val="00507FB7"/>
    <w:rsid w:val="00510EBA"/>
    <w:rsid w:val="00511B63"/>
    <w:rsid w:val="00514532"/>
    <w:rsid w:val="00516342"/>
    <w:rsid w:val="00517180"/>
    <w:rsid w:val="0051730D"/>
    <w:rsid w:val="00521935"/>
    <w:rsid w:val="00523161"/>
    <w:rsid w:val="0052378C"/>
    <w:rsid w:val="005242DA"/>
    <w:rsid w:val="00524712"/>
    <w:rsid w:val="0052567D"/>
    <w:rsid w:val="00527D48"/>
    <w:rsid w:val="00527FEB"/>
    <w:rsid w:val="005305AE"/>
    <w:rsid w:val="00530652"/>
    <w:rsid w:val="005318AE"/>
    <w:rsid w:val="00532CD1"/>
    <w:rsid w:val="0053326F"/>
    <w:rsid w:val="005347EB"/>
    <w:rsid w:val="005348BD"/>
    <w:rsid w:val="0053506A"/>
    <w:rsid w:val="005355CE"/>
    <w:rsid w:val="00536035"/>
    <w:rsid w:val="005362DD"/>
    <w:rsid w:val="00536BD3"/>
    <w:rsid w:val="00536F62"/>
    <w:rsid w:val="00536FC9"/>
    <w:rsid w:val="00540838"/>
    <w:rsid w:val="00540AA6"/>
    <w:rsid w:val="00540D50"/>
    <w:rsid w:val="00541541"/>
    <w:rsid w:val="00541E72"/>
    <w:rsid w:val="00542CEC"/>
    <w:rsid w:val="00542E29"/>
    <w:rsid w:val="00543141"/>
    <w:rsid w:val="00545044"/>
    <w:rsid w:val="005462C1"/>
    <w:rsid w:val="00546E64"/>
    <w:rsid w:val="00550389"/>
    <w:rsid w:val="005514C5"/>
    <w:rsid w:val="005527DB"/>
    <w:rsid w:val="0055365C"/>
    <w:rsid w:val="005540ED"/>
    <w:rsid w:val="00554243"/>
    <w:rsid w:val="005547C3"/>
    <w:rsid w:val="0055529C"/>
    <w:rsid w:val="00555905"/>
    <w:rsid w:val="00555939"/>
    <w:rsid w:val="00556379"/>
    <w:rsid w:val="005563A2"/>
    <w:rsid w:val="005566E6"/>
    <w:rsid w:val="005572B2"/>
    <w:rsid w:val="00560DA0"/>
    <w:rsid w:val="005612F2"/>
    <w:rsid w:val="00561961"/>
    <w:rsid w:val="00561DA4"/>
    <w:rsid w:val="0056265F"/>
    <w:rsid w:val="00563469"/>
    <w:rsid w:val="00566B0F"/>
    <w:rsid w:val="00566DAC"/>
    <w:rsid w:val="00570F09"/>
    <w:rsid w:val="0057219C"/>
    <w:rsid w:val="00572658"/>
    <w:rsid w:val="00574C81"/>
    <w:rsid w:val="0057574A"/>
    <w:rsid w:val="00575CF9"/>
    <w:rsid w:val="00576A72"/>
    <w:rsid w:val="00576FC1"/>
    <w:rsid w:val="00577ECA"/>
    <w:rsid w:val="00582FEB"/>
    <w:rsid w:val="005858CA"/>
    <w:rsid w:val="0058608F"/>
    <w:rsid w:val="0058613D"/>
    <w:rsid w:val="00591B8F"/>
    <w:rsid w:val="00591FC6"/>
    <w:rsid w:val="005920F0"/>
    <w:rsid w:val="005921DC"/>
    <w:rsid w:val="00594D01"/>
    <w:rsid w:val="005969F6"/>
    <w:rsid w:val="00597842"/>
    <w:rsid w:val="005A0C89"/>
    <w:rsid w:val="005A1976"/>
    <w:rsid w:val="005A1CD2"/>
    <w:rsid w:val="005A21AC"/>
    <w:rsid w:val="005A2308"/>
    <w:rsid w:val="005A2ADB"/>
    <w:rsid w:val="005A2EF0"/>
    <w:rsid w:val="005A3C79"/>
    <w:rsid w:val="005A45F6"/>
    <w:rsid w:val="005A6B5A"/>
    <w:rsid w:val="005A7504"/>
    <w:rsid w:val="005A7ABF"/>
    <w:rsid w:val="005A7D4B"/>
    <w:rsid w:val="005B0542"/>
    <w:rsid w:val="005B175C"/>
    <w:rsid w:val="005B1933"/>
    <w:rsid w:val="005B1AE2"/>
    <w:rsid w:val="005B2039"/>
    <w:rsid w:val="005B2166"/>
    <w:rsid w:val="005B41F3"/>
    <w:rsid w:val="005B553F"/>
    <w:rsid w:val="005B5A77"/>
    <w:rsid w:val="005B76C4"/>
    <w:rsid w:val="005B7E85"/>
    <w:rsid w:val="005C0731"/>
    <w:rsid w:val="005C103B"/>
    <w:rsid w:val="005C1532"/>
    <w:rsid w:val="005C1B0B"/>
    <w:rsid w:val="005C397F"/>
    <w:rsid w:val="005C63BF"/>
    <w:rsid w:val="005C66A3"/>
    <w:rsid w:val="005C6ADB"/>
    <w:rsid w:val="005C6F8E"/>
    <w:rsid w:val="005D011F"/>
    <w:rsid w:val="005D070C"/>
    <w:rsid w:val="005D07F5"/>
    <w:rsid w:val="005D18E5"/>
    <w:rsid w:val="005D31CB"/>
    <w:rsid w:val="005D382C"/>
    <w:rsid w:val="005D4FB2"/>
    <w:rsid w:val="005D59E6"/>
    <w:rsid w:val="005D5AE0"/>
    <w:rsid w:val="005D78A3"/>
    <w:rsid w:val="005E0E6A"/>
    <w:rsid w:val="005E17B2"/>
    <w:rsid w:val="005E2B02"/>
    <w:rsid w:val="005E2EF4"/>
    <w:rsid w:val="005E3CF4"/>
    <w:rsid w:val="005E4E23"/>
    <w:rsid w:val="005E6077"/>
    <w:rsid w:val="005E6D6F"/>
    <w:rsid w:val="005F21DF"/>
    <w:rsid w:val="005F35A8"/>
    <w:rsid w:val="005F4682"/>
    <w:rsid w:val="005F4DA5"/>
    <w:rsid w:val="005F5153"/>
    <w:rsid w:val="005F57BC"/>
    <w:rsid w:val="005F5A3A"/>
    <w:rsid w:val="005F728F"/>
    <w:rsid w:val="00602480"/>
    <w:rsid w:val="00603B02"/>
    <w:rsid w:val="00603CD3"/>
    <w:rsid w:val="00605A45"/>
    <w:rsid w:val="00610199"/>
    <w:rsid w:val="006107DD"/>
    <w:rsid w:val="00611F78"/>
    <w:rsid w:val="006120F5"/>
    <w:rsid w:val="006128C5"/>
    <w:rsid w:val="006139A9"/>
    <w:rsid w:val="00613A3D"/>
    <w:rsid w:val="00614EC8"/>
    <w:rsid w:val="00616078"/>
    <w:rsid w:val="00616719"/>
    <w:rsid w:val="00617A30"/>
    <w:rsid w:val="00617AB5"/>
    <w:rsid w:val="0062078D"/>
    <w:rsid w:val="0062151D"/>
    <w:rsid w:val="00621F09"/>
    <w:rsid w:val="0062200E"/>
    <w:rsid w:val="00623EAB"/>
    <w:rsid w:val="00623FE3"/>
    <w:rsid w:val="00624657"/>
    <w:rsid w:val="00624663"/>
    <w:rsid w:val="0062504B"/>
    <w:rsid w:val="006251CD"/>
    <w:rsid w:val="006252DC"/>
    <w:rsid w:val="0062759B"/>
    <w:rsid w:val="006311F6"/>
    <w:rsid w:val="006312E5"/>
    <w:rsid w:val="00632174"/>
    <w:rsid w:val="00632881"/>
    <w:rsid w:val="006341DD"/>
    <w:rsid w:val="00636D5C"/>
    <w:rsid w:val="00637129"/>
    <w:rsid w:val="006373AF"/>
    <w:rsid w:val="00637642"/>
    <w:rsid w:val="00637735"/>
    <w:rsid w:val="006401CF"/>
    <w:rsid w:val="00640373"/>
    <w:rsid w:val="00640EAF"/>
    <w:rsid w:val="0064347D"/>
    <w:rsid w:val="00643AAD"/>
    <w:rsid w:val="0064412D"/>
    <w:rsid w:val="00644165"/>
    <w:rsid w:val="00645BAF"/>
    <w:rsid w:val="00645CE3"/>
    <w:rsid w:val="0064666B"/>
    <w:rsid w:val="00651CE7"/>
    <w:rsid w:val="0065280C"/>
    <w:rsid w:val="006530A6"/>
    <w:rsid w:val="006544AB"/>
    <w:rsid w:val="006546D9"/>
    <w:rsid w:val="00654878"/>
    <w:rsid w:val="0065736B"/>
    <w:rsid w:val="00657677"/>
    <w:rsid w:val="00657E24"/>
    <w:rsid w:val="00660F03"/>
    <w:rsid w:val="00662DD1"/>
    <w:rsid w:val="00663826"/>
    <w:rsid w:val="00663B80"/>
    <w:rsid w:val="006653F0"/>
    <w:rsid w:val="0066594D"/>
    <w:rsid w:val="00666D84"/>
    <w:rsid w:val="0066794D"/>
    <w:rsid w:val="00667AA6"/>
    <w:rsid w:val="00672D19"/>
    <w:rsid w:val="00672ED1"/>
    <w:rsid w:val="00672FD1"/>
    <w:rsid w:val="006734C1"/>
    <w:rsid w:val="006736D8"/>
    <w:rsid w:val="006737FA"/>
    <w:rsid w:val="00674463"/>
    <w:rsid w:val="00674686"/>
    <w:rsid w:val="00674B68"/>
    <w:rsid w:val="006752E9"/>
    <w:rsid w:val="006773B0"/>
    <w:rsid w:val="00677BF0"/>
    <w:rsid w:val="00681C17"/>
    <w:rsid w:val="0068229F"/>
    <w:rsid w:val="0068255C"/>
    <w:rsid w:val="0068328F"/>
    <w:rsid w:val="0068467F"/>
    <w:rsid w:val="006878D2"/>
    <w:rsid w:val="0069545D"/>
    <w:rsid w:val="006964D7"/>
    <w:rsid w:val="0069668E"/>
    <w:rsid w:val="00697E15"/>
    <w:rsid w:val="006A04C0"/>
    <w:rsid w:val="006A0773"/>
    <w:rsid w:val="006A0C3F"/>
    <w:rsid w:val="006A1753"/>
    <w:rsid w:val="006A2E7B"/>
    <w:rsid w:val="006A46EA"/>
    <w:rsid w:val="006A4AB2"/>
    <w:rsid w:val="006A5921"/>
    <w:rsid w:val="006A67DF"/>
    <w:rsid w:val="006A7E67"/>
    <w:rsid w:val="006A7EFC"/>
    <w:rsid w:val="006B0F39"/>
    <w:rsid w:val="006B1C66"/>
    <w:rsid w:val="006B1E8C"/>
    <w:rsid w:val="006B45AD"/>
    <w:rsid w:val="006B66EE"/>
    <w:rsid w:val="006B6C0E"/>
    <w:rsid w:val="006B6D2F"/>
    <w:rsid w:val="006B78C6"/>
    <w:rsid w:val="006C03F3"/>
    <w:rsid w:val="006C24F7"/>
    <w:rsid w:val="006C26B1"/>
    <w:rsid w:val="006C58EA"/>
    <w:rsid w:val="006C6486"/>
    <w:rsid w:val="006C6984"/>
    <w:rsid w:val="006C6B88"/>
    <w:rsid w:val="006C6C34"/>
    <w:rsid w:val="006C6D40"/>
    <w:rsid w:val="006C7DC0"/>
    <w:rsid w:val="006D00A2"/>
    <w:rsid w:val="006D0EDC"/>
    <w:rsid w:val="006D1910"/>
    <w:rsid w:val="006D3917"/>
    <w:rsid w:val="006D39A5"/>
    <w:rsid w:val="006D5DBE"/>
    <w:rsid w:val="006D6CE3"/>
    <w:rsid w:val="006E6244"/>
    <w:rsid w:val="006E7D50"/>
    <w:rsid w:val="006F1BFE"/>
    <w:rsid w:val="006F27A8"/>
    <w:rsid w:val="006F2A12"/>
    <w:rsid w:val="006F2B05"/>
    <w:rsid w:val="006F2C88"/>
    <w:rsid w:val="006F4004"/>
    <w:rsid w:val="006F4402"/>
    <w:rsid w:val="006F6EF4"/>
    <w:rsid w:val="006F71FC"/>
    <w:rsid w:val="006F7D75"/>
    <w:rsid w:val="007016D4"/>
    <w:rsid w:val="0070257F"/>
    <w:rsid w:val="007030E1"/>
    <w:rsid w:val="00703EE6"/>
    <w:rsid w:val="00704BAC"/>
    <w:rsid w:val="00705252"/>
    <w:rsid w:val="00710304"/>
    <w:rsid w:val="00712B74"/>
    <w:rsid w:val="00714723"/>
    <w:rsid w:val="00714BFE"/>
    <w:rsid w:val="007159D9"/>
    <w:rsid w:val="00715BC1"/>
    <w:rsid w:val="00720F76"/>
    <w:rsid w:val="007214B5"/>
    <w:rsid w:val="007223C2"/>
    <w:rsid w:val="00722AD8"/>
    <w:rsid w:val="00722CB1"/>
    <w:rsid w:val="00723FD4"/>
    <w:rsid w:val="00724D68"/>
    <w:rsid w:val="00726203"/>
    <w:rsid w:val="007273FF"/>
    <w:rsid w:val="007325DB"/>
    <w:rsid w:val="00732A47"/>
    <w:rsid w:val="00732DE9"/>
    <w:rsid w:val="00732E3C"/>
    <w:rsid w:val="007337F6"/>
    <w:rsid w:val="00735928"/>
    <w:rsid w:val="0073624A"/>
    <w:rsid w:val="00737B7A"/>
    <w:rsid w:val="00737DCD"/>
    <w:rsid w:val="00742EC4"/>
    <w:rsid w:val="00742FA4"/>
    <w:rsid w:val="00743BC1"/>
    <w:rsid w:val="00743EF2"/>
    <w:rsid w:val="007445A5"/>
    <w:rsid w:val="0074656A"/>
    <w:rsid w:val="00746699"/>
    <w:rsid w:val="007468A1"/>
    <w:rsid w:val="007502B2"/>
    <w:rsid w:val="00750AD6"/>
    <w:rsid w:val="00751A12"/>
    <w:rsid w:val="00753112"/>
    <w:rsid w:val="007533E0"/>
    <w:rsid w:val="007540BC"/>
    <w:rsid w:val="00754845"/>
    <w:rsid w:val="00756726"/>
    <w:rsid w:val="00756812"/>
    <w:rsid w:val="00756B05"/>
    <w:rsid w:val="007575A5"/>
    <w:rsid w:val="0075782B"/>
    <w:rsid w:val="007578F9"/>
    <w:rsid w:val="00760F61"/>
    <w:rsid w:val="00761229"/>
    <w:rsid w:val="007613EA"/>
    <w:rsid w:val="007614F8"/>
    <w:rsid w:val="0076178B"/>
    <w:rsid w:val="00762530"/>
    <w:rsid w:val="0076389D"/>
    <w:rsid w:val="0076419A"/>
    <w:rsid w:val="00764B5B"/>
    <w:rsid w:val="00764E81"/>
    <w:rsid w:val="0076503B"/>
    <w:rsid w:val="007664C2"/>
    <w:rsid w:val="00767012"/>
    <w:rsid w:val="00767BD9"/>
    <w:rsid w:val="00770496"/>
    <w:rsid w:val="00770891"/>
    <w:rsid w:val="00770A0A"/>
    <w:rsid w:val="0077146B"/>
    <w:rsid w:val="007717A0"/>
    <w:rsid w:val="007734F5"/>
    <w:rsid w:val="00773E5A"/>
    <w:rsid w:val="0077486E"/>
    <w:rsid w:val="00775073"/>
    <w:rsid w:val="007757BF"/>
    <w:rsid w:val="00776B56"/>
    <w:rsid w:val="00777E4F"/>
    <w:rsid w:val="00780062"/>
    <w:rsid w:val="0078139F"/>
    <w:rsid w:val="007817E5"/>
    <w:rsid w:val="007832BA"/>
    <w:rsid w:val="0078585C"/>
    <w:rsid w:val="00785A2B"/>
    <w:rsid w:val="007876F4"/>
    <w:rsid w:val="00787E24"/>
    <w:rsid w:val="00790420"/>
    <w:rsid w:val="00792072"/>
    <w:rsid w:val="00792610"/>
    <w:rsid w:val="00793001"/>
    <w:rsid w:val="00793142"/>
    <w:rsid w:val="0079332F"/>
    <w:rsid w:val="00793874"/>
    <w:rsid w:val="00793999"/>
    <w:rsid w:val="00793BA2"/>
    <w:rsid w:val="00793D66"/>
    <w:rsid w:val="00794115"/>
    <w:rsid w:val="007955BD"/>
    <w:rsid w:val="007966D5"/>
    <w:rsid w:val="00796C8B"/>
    <w:rsid w:val="00797823"/>
    <w:rsid w:val="007A1247"/>
    <w:rsid w:val="007A22F4"/>
    <w:rsid w:val="007A2EC4"/>
    <w:rsid w:val="007A308F"/>
    <w:rsid w:val="007A3BC0"/>
    <w:rsid w:val="007A3F47"/>
    <w:rsid w:val="007A42B3"/>
    <w:rsid w:val="007A463C"/>
    <w:rsid w:val="007A51E0"/>
    <w:rsid w:val="007A78B3"/>
    <w:rsid w:val="007A7EF3"/>
    <w:rsid w:val="007B0A50"/>
    <w:rsid w:val="007B171A"/>
    <w:rsid w:val="007B176B"/>
    <w:rsid w:val="007B348C"/>
    <w:rsid w:val="007B383A"/>
    <w:rsid w:val="007B6178"/>
    <w:rsid w:val="007B6AC9"/>
    <w:rsid w:val="007C10FB"/>
    <w:rsid w:val="007C2A40"/>
    <w:rsid w:val="007C3A71"/>
    <w:rsid w:val="007C3D9C"/>
    <w:rsid w:val="007C4173"/>
    <w:rsid w:val="007C4309"/>
    <w:rsid w:val="007C4C61"/>
    <w:rsid w:val="007C7252"/>
    <w:rsid w:val="007C7653"/>
    <w:rsid w:val="007C781B"/>
    <w:rsid w:val="007D0D79"/>
    <w:rsid w:val="007D3715"/>
    <w:rsid w:val="007D4535"/>
    <w:rsid w:val="007D71C4"/>
    <w:rsid w:val="007D77E9"/>
    <w:rsid w:val="007D7F9F"/>
    <w:rsid w:val="007D7FDC"/>
    <w:rsid w:val="007E01E8"/>
    <w:rsid w:val="007E15B0"/>
    <w:rsid w:val="007E424F"/>
    <w:rsid w:val="007E4B12"/>
    <w:rsid w:val="007E4F26"/>
    <w:rsid w:val="007E5112"/>
    <w:rsid w:val="007E6BF0"/>
    <w:rsid w:val="007E6D09"/>
    <w:rsid w:val="007E7CB6"/>
    <w:rsid w:val="007F204C"/>
    <w:rsid w:val="007F37AF"/>
    <w:rsid w:val="007F3CD0"/>
    <w:rsid w:val="007F6E07"/>
    <w:rsid w:val="007F727E"/>
    <w:rsid w:val="0080022D"/>
    <w:rsid w:val="00801089"/>
    <w:rsid w:val="00803D34"/>
    <w:rsid w:val="008041DC"/>
    <w:rsid w:val="0080465B"/>
    <w:rsid w:val="008053A9"/>
    <w:rsid w:val="00807195"/>
    <w:rsid w:val="00807537"/>
    <w:rsid w:val="008077D1"/>
    <w:rsid w:val="008100F1"/>
    <w:rsid w:val="008142DC"/>
    <w:rsid w:val="00814535"/>
    <w:rsid w:val="008159A0"/>
    <w:rsid w:val="008163DA"/>
    <w:rsid w:val="0081655D"/>
    <w:rsid w:val="00817825"/>
    <w:rsid w:val="00817B59"/>
    <w:rsid w:val="0082099F"/>
    <w:rsid w:val="00822482"/>
    <w:rsid w:val="00822B5D"/>
    <w:rsid w:val="00823344"/>
    <w:rsid w:val="00823E41"/>
    <w:rsid w:val="0082481A"/>
    <w:rsid w:val="00824F4E"/>
    <w:rsid w:val="00825B8C"/>
    <w:rsid w:val="00830026"/>
    <w:rsid w:val="00830766"/>
    <w:rsid w:val="00830A9C"/>
    <w:rsid w:val="00830ED0"/>
    <w:rsid w:val="008313B8"/>
    <w:rsid w:val="0083361F"/>
    <w:rsid w:val="00834245"/>
    <w:rsid w:val="0083494F"/>
    <w:rsid w:val="008357A7"/>
    <w:rsid w:val="008373A4"/>
    <w:rsid w:val="00841CE5"/>
    <w:rsid w:val="00842097"/>
    <w:rsid w:val="00842F7C"/>
    <w:rsid w:val="00843B74"/>
    <w:rsid w:val="008442A6"/>
    <w:rsid w:val="00844511"/>
    <w:rsid w:val="0084459B"/>
    <w:rsid w:val="00844741"/>
    <w:rsid w:val="00844B69"/>
    <w:rsid w:val="00845E0C"/>
    <w:rsid w:val="00846BEC"/>
    <w:rsid w:val="00850432"/>
    <w:rsid w:val="0085076B"/>
    <w:rsid w:val="008513C6"/>
    <w:rsid w:val="008513F3"/>
    <w:rsid w:val="00852866"/>
    <w:rsid w:val="00852B68"/>
    <w:rsid w:val="00852C87"/>
    <w:rsid w:val="0085359F"/>
    <w:rsid w:val="008539F3"/>
    <w:rsid w:val="00853BA9"/>
    <w:rsid w:val="0085512C"/>
    <w:rsid w:val="00855634"/>
    <w:rsid w:val="00855DA2"/>
    <w:rsid w:val="00855E60"/>
    <w:rsid w:val="008604EC"/>
    <w:rsid w:val="008614EC"/>
    <w:rsid w:val="0086189E"/>
    <w:rsid w:val="00861D4C"/>
    <w:rsid w:val="008625BB"/>
    <w:rsid w:val="00863D15"/>
    <w:rsid w:val="008642C9"/>
    <w:rsid w:val="00864D56"/>
    <w:rsid w:val="008651E0"/>
    <w:rsid w:val="0086763A"/>
    <w:rsid w:val="00867DBA"/>
    <w:rsid w:val="00870184"/>
    <w:rsid w:val="008709AB"/>
    <w:rsid w:val="00870CD8"/>
    <w:rsid w:val="008727EB"/>
    <w:rsid w:val="00873FBE"/>
    <w:rsid w:val="00874488"/>
    <w:rsid w:val="0087517D"/>
    <w:rsid w:val="008760CF"/>
    <w:rsid w:val="008775EB"/>
    <w:rsid w:val="00882F50"/>
    <w:rsid w:val="00885BD2"/>
    <w:rsid w:val="00887196"/>
    <w:rsid w:val="00890556"/>
    <w:rsid w:val="00890C81"/>
    <w:rsid w:val="008918B5"/>
    <w:rsid w:val="0089460B"/>
    <w:rsid w:val="008947E5"/>
    <w:rsid w:val="008949B4"/>
    <w:rsid w:val="00896214"/>
    <w:rsid w:val="00896E29"/>
    <w:rsid w:val="00897AB5"/>
    <w:rsid w:val="00897CDB"/>
    <w:rsid w:val="008A0FAB"/>
    <w:rsid w:val="008A1067"/>
    <w:rsid w:val="008A1412"/>
    <w:rsid w:val="008A1AB8"/>
    <w:rsid w:val="008A240F"/>
    <w:rsid w:val="008A32AB"/>
    <w:rsid w:val="008A3795"/>
    <w:rsid w:val="008A4C8D"/>
    <w:rsid w:val="008A50D2"/>
    <w:rsid w:val="008A6A0C"/>
    <w:rsid w:val="008A775C"/>
    <w:rsid w:val="008A78C2"/>
    <w:rsid w:val="008B1824"/>
    <w:rsid w:val="008B1E3B"/>
    <w:rsid w:val="008B326C"/>
    <w:rsid w:val="008B3299"/>
    <w:rsid w:val="008B33EF"/>
    <w:rsid w:val="008B3ACD"/>
    <w:rsid w:val="008B3EE0"/>
    <w:rsid w:val="008B3FB1"/>
    <w:rsid w:val="008B4120"/>
    <w:rsid w:val="008B4883"/>
    <w:rsid w:val="008B4BFF"/>
    <w:rsid w:val="008B5078"/>
    <w:rsid w:val="008B6B6C"/>
    <w:rsid w:val="008C0725"/>
    <w:rsid w:val="008C4842"/>
    <w:rsid w:val="008C4C31"/>
    <w:rsid w:val="008C4DB3"/>
    <w:rsid w:val="008C541F"/>
    <w:rsid w:val="008C6596"/>
    <w:rsid w:val="008C6999"/>
    <w:rsid w:val="008C6EF7"/>
    <w:rsid w:val="008C7961"/>
    <w:rsid w:val="008C7DCB"/>
    <w:rsid w:val="008D0463"/>
    <w:rsid w:val="008D19C2"/>
    <w:rsid w:val="008D25F7"/>
    <w:rsid w:val="008D30B5"/>
    <w:rsid w:val="008D3BE1"/>
    <w:rsid w:val="008D4916"/>
    <w:rsid w:val="008D49F2"/>
    <w:rsid w:val="008D6E99"/>
    <w:rsid w:val="008D7CBA"/>
    <w:rsid w:val="008E01D5"/>
    <w:rsid w:val="008E0394"/>
    <w:rsid w:val="008E05E0"/>
    <w:rsid w:val="008E0A45"/>
    <w:rsid w:val="008E24A9"/>
    <w:rsid w:val="008E2944"/>
    <w:rsid w:val="008E3093"/>
    <w:rsid w:val="008E41D2"/>
    <w:rsid w:val="008E5097"/>
    <w:rsid w:val="008E652B"/>
    <w:rsid w:val="008E660E"/>
    <w:rsid w:val="008E6F4F"/>
    <w:rsid w:val="008E7C94"/>
    <w:rsid w:val="008F0408"/>
    <w:rsid w:val="008F1273"/>
    <w:rsid w:val="008F308C"/>
    <w:rsid w:val="008F4159"/>
    <w:rsid w:val="008F4777"/>
    <w:rsid w:val="008F648B"/>
    <w:rsid w:val="008F7787"/>
    <w:rsid w:val="008F7924"/>
    <w:rsid w:val="009018F6"/>
    <w:rsid w:val="00901DF8"/>
    <w:rsid w:val="009020DC"/>
    <w:rsid w:val="00902601"/>
    <w:rsid w:val="00902CCC"/>
    <w:rsid w:val="0090381F"/>
    <w:rsid w:val="009049BB"/>
    <w:rsid w:val="00904D99"/>
    <w:rsid w:val="00906241"/>
    <w:rsid w:val="009062CA"/>
    <w:rsid w:val="00907D8C"/>
    <w:rsid w:val="00910D55"/>
    <w:rsid w:val="00912A28"/>
    <w:rsid w:val="00913A2C"/>
    <w:rsid w:val="009141FA"/>
    <w:rsid w:val="009151AD"/>
    <w:rsid w:val="009152C3"/>
    <w:rsid w:val="00917B4E"/>
    <w:rsid w:val="00917FA3"/>
    <w:rsid w:val="00920A97"/>
    <w:rsid w:val="00920E3F"/>
    <w:rsid w:val="00921732"/>
    <w:rsid w:val="00922F2B"/>
    <w:rsid w:val="00923852"/>
    <w:rsid w:val="00927DA5"/>
    <w:rsid w:val="00927E1A"/>
    <w:rsid w:val="00930439"/>
    <w:rsid w:val="009305C1"/>
    <w:rsid w:val="00932251"/>
    <w:rsid w:val="009345C2"/>
    <w:rsid w:val="009352AD"/>
    <w:rsid w:val="00941B5D"/>
    <w:rsid w:val="00944550"/>
    <w:rsid w:val="0094633A"/>
    <w:rsid w:val="00946511"/>
    <w:rsid w:val="0095329B"/>
    <w:rsid w:val="00953B59"/>
    <w:rsid w:val="0095426B"/>
    <w:rsid w:val="00954EDD"/>
    <w:rsid w:val="00955515"/>
    <w:rsid w:val="00955DE1"/>
    <w:rsid w:val="00955E8D"/>
    <w:rsid w:val="00957B19"/>
    <w:rsid w:val="00962B9F"/>
    <w:rsid w:val="00963909"/>
    <w:rsid w:val="00964941"/>
    <w:rsid w:val="009655B7"/>
    <w:rsid w:val="009661B9"/>
    <w:rsid w:val="00966BE2"/>
    <w:rsid w:val="00970461"/>
    <w:rsid w:val="00971DD5"/>
    <w:rsid w:val="00972DCF"/>
    <w:rsid w:val="00973D1B"/>
    <w:rsid w:val="00973FB3"/>
    <w:rsid w:val="009741FF"/>
    <w:rsid w:val="00974BB1"/>
    <w:rsid w:val="00975375"/>
    <w:rsid w:val="00975AF2"/>
    <w:rsid w:val="00976384"/>
    <w:rsid w:val="009766BB"/>
    <w:rsid w:val="009810CE"/>
    <w:rsid w:val="00981832"/>
    <w:rsid w:val="00981D34"/>
    <w:rsid w:val="00982BD6"/>
    <w:rsid w:val="00983628"/>
    <w:rsid w:val="0098529B"/>
    <w:rsid w:val="00985878"/>
    <w:rsid w:val="0099008C"/>
    <w:rsid w:val="00990C88"/>
    <w:rsid w:val="00992026"/>
    <w:rsid w:val="009924E3"/>
    <w:rsid w:val="00993015"/>
    <w:rsid w:val="00994E98"/>
    <w:rsid w:val="00994F8E"/>
    <w:rsid w:val="00996E10"/>
    <w:rsid w:val="00997762"/>
    <w:rsid w:val="00997C60"/>
    <w:rsid w:val="00997E50"/>
    <w:rsid w:val="009A0E97"/>
    <w:rsid w:val="009A24F5"/>
    <w:rsid w:val="009A341B"/>
    <w:rsid w:val="009A3722"/>
    <w:rsid w:val="009A622D"/>
    <w:rsid w:val="009A7113"/>
    <w:rsid w:val="009A7663"/>
    <w:rsid w:val="009A7B7C"/>
    <w:rsid w:val="009B1701"/>
    <w:rsid w:val="009B2913"/>
    <w:rsid w:val="009B2B8C"/>
    <w:rsid w:val="009B2F49"/>
    <w:rsid w:val="009B43C0"/>
    <w:rsid w:val="009B462F"/>
    <w:rsid w:val="009B4836"/>
    <w:rsid w:val="009B6438"/>
    <w:rsid w:val="009C0A07"/>
    <w:rsid w:val="009C18D2"/>
    <w:rsid w:val="009C2980"/>
    <w:rsid w:val="009C304E"/>
    <w:rsid w:val="009C7222"/>
    <w:rsid w:val="009C7999"/>
    <w:rsid w:val="009D033E"/>
    <w:rsid w:val="009D0C24"/>
    <w:rsid w:val="009D1ECA"/>
    <w:rsid w:val="009D24AD"/>
    <w:rsid w:val="009D2C72"/>
    <w:rsid w:val="009D2FBD"/>
    <w:rsid w:val="009D4250"/>
    <w:rsid w:val="009D464B"/>
    <w:rsid w:val="009D49B1"/>
    <w:rsid w:val="009D506A"/>
    <w:rsid w:val="009D50FD"/>
    <w:rsid w:val="009D6316"/>
    <w:rsid w:val="009D6939"/>
    <w:rsid w:val="009D7161"/>
    <w:rsid w:val="009E31CB"/>
    <w:rsid w:val="009E4293"/>
    <w:rsid w:val="009E44AC"/>
    <w:rsid w:val="009E4AD5"/>
    <w:rsid w:val="009E4D3E"/>
    <w:rsid w:val="009E5358"/>
    <w:rsid w:val="009E54D4"/>
    <w:rsid w:val="009E552A"/>
    <w:rsid w:val="009E5B75"/>
    <w:rsid w:val="009E780F"/>
    <w:rsid w:val="009F01AE"/>
    <w:rsid w:val="009F0818"/>
    <w:rsid w:val="009F22DB"/>
    <w:rsid w:val="009F231C"/>
    <w:rsid w:val="009F35FD"/>
    <w:rsid w:val="009F3952"/>
    <w:rsid w:val="009F412F"/>
    <w:rsid w:val="009F50D0"/>
    <w:rsid w:val="009F5833"/>
    <w:rsid w:val="009F5C4D"/>
    <w:rsid w:val="009F76D2"/>
    <w:rsid w:val="009F7D37"/>
    <w:rsid w:val="00A00C33"/>
    <w:rsid w:val="00A02EF6"/>
    <w:rsid w:val="00A0380A"/>
    <w:rsid w:val="00A0480D"/>
    <w:rsid w:val="00A05E5E"/>
    <w:rsid w:val="00A0696E"/>
    <w:rsid w:val="00A07ADD"/>
    <w:rsid w:val="00A11022"/>
    <w:rsid w:val="00A12622"/>
    <w:rsid w:val="00A12CB9"/>
    <w:rsid w:val="00A12DF7"/>
    <w:rsid w:val="00A13B69"/>
    <w:rsid w:val="00A14F2E"/>
    <w:rsid w:val="00A175BB"/>
    <w:rsid w:val="00A17BCC"/>
    <w:rsid w:val="00A17CC2"/>
    <w:rsid w:val="00A20223"/>
    <w:rsid w:val="00A210D0"/>
    <w:rsid w:val="00A21207"/>
    <w:rsid w:val="00A21A18"/>
    <w:rsid w:val="00A21EDA"/>
    <w:rsid w:val="00A23CBD"/>
    <w:rsid w:val="00A24300"/>
    <w:rsid w:val="00A25B8E"/>
    <w:rsid w:val="00A26269"/>
    <w:rsid w:val="00A30686"/>
    <w:rsid w:val="00A31ABE"/>
    <w:rsid w:val="00A32896"/>
    <w:rsid w:val="00A32B09"/>
    <w:rsid w:val="00A33356"/>
    <w:rsid w:val="00A3341A"/>
    <w:rsid w:val="00A34672"/>
    <w:rsid w:val="00A3750A"/>
    <w:rsid w:val="00A3767D"/>
    <w:rsid w:val="00A37C25"/>
    <w:rsid w:val="00A4049D"/>
    <w:rsid w:val="00A404CD"/>
    <w:rsid w:val="00A41FB2"/>
    <w:rsid w:val="00A42CED"/>
    <w:rsid w:val="00A4380A"/>
    <w:rsid w:val="00A45069"/>
    <w:rsid w:val="00A45B2C"/>
    <w:rsid w:val="00A46A7C"/>
    <w:rsid w:val="00A500CC"/>
    <w:rsid w:val="00A526DE"/>
    <w:rsid w:val="00A52D8E"/>
    <w:rsid w:val="00A536A1"/>
    <w:rsid w:val="00A54C1C"/>
    <w:rsid w:val="00A5561D"/>
    <w:rsid w:val="00A56938"/>
    <w:rsid w:val="00A56ADB"/>
    <w:rsid w:val="00A609E3"/>
    <w:rsid w:val="00A61F0F"/>
    <w:rsid w:val="00A6234A"/>
    <w:rsid w:val="00A62BF3"/>
    <w:rsid w:val="00A62EEF"/>
    <w:rsid w:val="00A6383B"/>
    <w:rsid w:val="00A643C8"/>
    <w:rsid w:val="00A64EA8"/>
    <w:rsid w:val="00A65756"/>
    <w:rsid w:val="00A65A9A"/>
    <w:rsid w:val="00A66CE0"/>
    <w:rsid w:val="00A67318"/>
    <w:rsid w:val="00A677DA"/>
    <w:rsid w:val="00A70A0F"/>
    <w:rsid w:val="00A70D06"/>
    <w:rsid w:val="00A72441"/>
    <w:rsid w:val="00A73028"/>
    <w:rsid w:val="00A75155"/>
    <w:rsid w:val="00A75739"/>
    <w:rsid w:val="00A75E72"/>
    <w:rsid w:val="00A764CF"/>
    <w:rsid w:val="00A76ED3"/>
    <w:rsid w:val="00A77C09"/>
    <w:rsid w:val="00A80079"/>
    <w:rsid w:val="00A8245F"/>
    <w:rsid w:val="00A83111"/>
    <w:rsid w:val="00A900AF"/>
    <w:rsid w:val="00A91197"/>
    <w:rsid w:val="00A91412"/>
    <w:rsid w:val="00A91FDA"/>
    <w:rsid w:val="00A9276E"/>
    <w:rsid w:val="00A9283C"/>
    <w:rsid w:val="00A931C1"/>
    <w:rsid w:val="00A93B22"/>
    <w:rsid w:val="00A96300"/>
    <w:rsid w:val="00A965BF"/>
    <w:rsid w:val="00A968AD"/>
    <w:rsid w:val="00A975ED"/>
    <w:rsid w:val="00AA6157"/>
    <w:rsid w:val="00AA682C"/>
    <w:rsid w:val="00AA6958"/>
    <w:rsid w:val="00AB19E2"/>
    <w:rsid w:val="00AB234C"/>
    <w:rsid w:val="00AB2DF7"/>
    <w:rsid w:val="00AB40E2"/>
    <w:rsid w:val="00AB48D1"/>
    <w:rsid w:val="00AB4C42"/>
    <w:rsid w:val="00AB4EF2"/>
    <w:rsid w:val="00AB50DE"/>
    <w:rsid w:val="00AB745B"/>
    <w:rsid w:val="00AC31F5"/>
    <w:rsid w:val="00AC35C9"/>
    <w:rsid w:val="00AC370D"/>
    <w:rsid w:val="00AC3B72"/>
    <w:rsid w:val="00AC4481"/>
    <w:rsid w:val="00AC45E4"/>
    <w:rsid w:val="00AC4B4E"/>
    <w:rsid w:val="00AC7940"/>
    <w:rsid w:val="00AD1005"/>
    <w:rsid w:val="00AD1072"/>
    <w:rsid w:val="00AD153F"/>
    <w:rsid w:val="00AD1795"/>
    <w:rsid w:val="00AD1FC1"/>
    <w:rsid w:val="00AD2783"/>
    <w:rsid w:val="00AD7841"/>
    <w:rsid w:val="00AE089B"/>
    <w:rsid w:val="00AE2024"/>
    <w:rsid w:val="00AE26C5"/>
    <w:rsid w:val="00AE2A48"/>
    <w:rsid w:val="00AE2BA8"/>
    <w:rsid w:val="00AE2BEA"/>
    <w:rsid w:val="00AE2EC7"/>
    <w:rsid w:val="00AE355F"/>
    <w:rsid w:val="00AE367B"/>
    <w:rsid w:val="00AE4A04"/>
    <w:rsid w:val="00AE5761"/>
    <w:rsid w:val="00AE6BE2"/>
    <w:rsid w:val="00AF1285"/>
    <w:rsid w:val="00AF1327"/>
    <w:rsid w:val="00AF1A9A"/>
    <w:rsid w:val="00AF2F6B"/>
    <w:rsid w:val="00AF33AA"/>
    <w:rsid w:val="00AF483F"/>
    <w:rsid w:val="00AF59B8"/>
    <w:rsid w:val="00AF6410"/>
    <w:rsid w:val="00AF6A38"/>
    <w:rsid w:val="00AF6EDE"/>
    <w:rsid w:val="00AF7D8D"/>
    <w:rsid w:val="00B0020A"/>
    <w:rsid w:val="00B00DF1"/>
    <w:rsid w:val="00B03028"/>
    <w:rsid w:val="00B03F3A"/>
    <w:rsid w:val="00B06949"/>
    <w:rsid w:val="00B06F08"/>
    <w:rsid w:val="00B114BE"/>
    <w:rsid w:val="00B1244D"/>
    <w:rsid w:val="00B12C00"/>
    <w:rsid w:val="00B13874"/>
    <w:rsid w:val="00B15FC8"/>
    <w:rsid w:val="00B16EBD"/>
    <w:rsid w:val="00B17511"/>
    <w:rsid w:val="00B176EF"/>
    <w:rsid w:val="00B201A6"/>
    <w:rsid w:val="00B219B1"/>
    <w:rsid w:val="00B2373A"/>
    <w:rsid w:val="00B2374E"/>
    <w:rsid w:val="00B24B8F"/>
    <w:rsid w:val="00B24E48"/>
    <w:rsid w:val="00B257E2"/>
    <w:rsid w:val="00B27B5A"/>
    <w:rsid w:val="00B309EE"/>
    <w:rsid w:val="00B30A6F"/>
    <w:rsid w:val="00B326A2"/>
    <w:rsid w:val="00B33BA2"/>
    <w:rsid w:val="00B33C61"/>
    <w:rsid w:val="00B33F1E"/>
    <w:rsid w:val="00B3414D"/>
    <w:rsid w:val="00B355C0"/>
    <w:rsid w:val="00B35F9F"/>
    <w:rsid w:val="00B36B06"/>
    <w:rsid w:val="00B41612"/>
    <w:rsid w:val="00B419F3"/>
    <w:rsid w:val="00B444EF"/>
    <w:rsid w:val="00B44B31"/>
    <w:rsid w:val="00B44C21"/>
    <w:rsid w:val="00B455E7"/>
    <w:rsid w:val="00B465EE"/>
    <w:rsid w:val="00B46A7D"/>
    <w:rsid w:val="00B50373"/>
    <w:rsid w:val="00B50427"/>
    <w:rsid w:val="00B50959"/>
    <w:rsid w:val="00B50DFF"/>
    <w:rsid w:val="00B52821"/>
    <w:rsid w:val="00B53441"/>
    <w:rsid w:val="00B54CC4"/>
    <w:rsid w:val="00B62A28"/>
    <w:rsid w:val="00B64469"/>
    <w:rsid w:val="00B656FC"/>
    <w:rsid w:val="00B668C3"/>
    <w:rsid w:val="00B67129"/>
    <w:rsid w:val="00B673C7"/>
    <w:rsid w:val="00B71173"/>
    <w:rsid w:val="00B7440D"/>
    <w:rsid w:val="00B752A5"/>
    <w:rsid w:val="00B760EA"/>
    <w:rsid w:val="00B763B1"/>
    <w:rsid w:val="00B76D88"/>
    <w:rsid w:val="00B76F82"/>
    <w:rsid w:val="00B80107"/>
    <w:rsid w:val="00B80174"/>
    <w:rsid w:val="00B80D15"/>
    <w:rsid w:val="00B81969"/>
    <w:rsid w:val="00B81E48"/>
    <w:rsid w:val="00B81E65"/>
    <w:rsid w:val="00B843D3"/>
    <w:rsid w:val="00B84902"/>
    <w:rsid w:val="00B8680A"/>
    <w:rsid w:val="00B868B0"/>
    <w:rsid w:val="00B86958"/>
    <w:rsid w:val="00B86FF9"/>
    <w:rsid w:val="00B87380"/>
    <w:rsid w:val="00B9038C"/>
    <w:rsid w:val="00B92EAF"/>
    <w:rsid w:val="00B953AE"/>
    <w:rsid w:val="00B971C3"/>
    <w:rsid w:val="00B972E8"/>
    <w:rsid w:val="00B97966"/>
    <w:rsid w:val="00BA0D4D"/>
    <w:rsid w:val="00BA20DA"/>
    <w:rsid w:val="00BA38DB"/>
    <w:rsid w:val="00BA48EF"/>
    <w:rsid w:val="00BA49C8"/>
    <w:rsid w:val="00BA49DE"/>
    <w:rsid w:val="00BA4F14"/>
    <w:rsid w:val="00BB011A"/>
    <w:rsid w:val="00BB460D"/>
    <w:rsid w:val="00BB4FDE"/>
    <w:rsid w:val="00BB5A1B"/>
    <w:rsid w:val="00BB5BA2"/>
    <w:rsid w:val="00BB648B"/>
    <w:rsid w:val="00BB6B0E"/>
    <w:rsid w:val="00BB6C97"/>
    <w:rsid w:val="00BC09E1"/>
    <w:rsid w:val="00BC0C70"/>
    <w:rsid w:val="00BC2551"/>
    <w:rsid w:val="00BC318A"/>
    <w:rsid w:val="00BC3452"/>
    <w:rsid w:val="00BC55FB"/>
    <w:rsid w:val="00BC65E8"/>
    <w:rsid w:val="00BD0326"/>
    <w:rsid w:val="00BD18D0"/>
    <w:rsid w:val="00BD2228"/>
    <w:rsid w:val="00BD37AE"/>
    <w:rsid w:val="00BD4780"/>
    <w:rsid w:val="00BD49A8"/>
    <w:rsid w:val="00BD5C3A"/>
    <w:rsid w:val="00BD61FF"/>
    <w:rsid w:val="00BD7155"/>
    <w:rsid w:val="00BD734C"/>
    <w:rsid w:val="00BD73A4"/>
    <w:rsid w:val="00BD7CAF"/>
    <w:rsid w:val="00BE103D"/>
    <w:rsid w:val="00BE1F7B"/>
    <w:rsid w:val="00BE2343"/>
    <w:rsid w:val="00BE54B3"/>
    <w:rsid w:val="00BE68BD"/>
    <w:rsid w:val="00BF063B"/>
    <w:rsid w:val="00BF0963"/>
    <w:rsid w:val="00BF0A9C"/>
    <w:rsid w:val="00BF0CC1"/>
    <w:rsid w:val="00BF1945"/>
    <w:rsid w:val="00BF2107"/>
    <w:rsid w:val="00BF3689"/>
    <w:rsid w:val="00BF4A9E"/>
    <w:rsid w:val="00BF54B7"/>
    <w:rsid w:val="00BF5A1F"/>
    <w:rsid w:val="00BF6EEF"/>
    <w:rsid w:val="00BF7007"/>
    <w:rsid w:val="00BF7739"/>
    <w:rsid w:val="00BF7D3A"/>
    <w:rsid w:val="00C00EF0"/>
    <w:rsid w:val="00C0197F"/>
    <w:rsid w:val="00C02C8B"/>
    <w:rsid w:val="00C038BE"/>
    <w:rsid w:val="00C047A7"/>
    <w:rsid w:val="00C04DA9"/>
    <w:rsid w:val="00C05596"/>
    <w:rsid w:val="00C0586A"/>
    <w:rsid w:val="00C05E29"/>
    <w:rsid w:val="00C062DE"/>
    <w:rsid w:val="00C07506"/>
    <w:rsid w:val="00C07889"/>
    <w:rsid w:val="00C1114B"/>
    <w:rsid w:val="00C12E91"/>
    <w:rsid w:val="00C14767"/>
    <w:rsid w:val="00C14B82"/>
    <w:rsid w:val="00C16C26"/>
    <w:rsid w:val="00C20329"/>
    <w:rsid w:val="00C207F4"/>
    <w:rsid w:val="00C215A2"/>
    <w:rsid w:val="00C22426"/>
    <w:rsid w:val="00C22A87"/>
    <w:rsid w:val="00C23993"/>
    <w:rsid w:val="00C23C38"/>
    <w:rsid w:val="00C2436A"/>
    <w:rsid w:val="00C250FA"/>
    <w:rsid w:val="00C25EDB"/>
    <w:rsid w:val="00C25FF6"/>
    <w:rsid w:val="00C27939"/>
    <w:rsid w:val="00C30855"/>
    <w:rsid w:val="00C327C1"/>
    <w:rsid w:val="00C32A3F"/>
    <w:rsid w:val="00C33361"/>
    <w:rsid w:val="00C33C7F"/>
    <w:rsid w:val="00C34813"/>
    <w:rsid w:val="00C35325"/>
    <w:rsid w:val="00C36190"/>
    <w:rsid w:val="00C362B7"/>
    <w:rsid w:val="00C37913"/>
    <w:rsid w:val="00C37B48"/>
    <w:rsid w:val="00C41404"/>
    <w:rsid w:val="00C41B5D"/>
    <w:rsid w:val="00C427BF"/>
    <w:rsid w:val="00C434BB"/>
    <w:rsid w:val="00C43934"/>
    <w:rsid w:val="00C44204"/>
    <w:rsid w:val="00C44778"/>
    <w:rsid w:val="00C45A8E"/>
    <w:rsid w:val="00C467E1"/>
    <w:rsid w:val="00C50BD2"/>
    <w:rsid w:val="00C51680"/>
    <w:rsid w:val="00C51798"/>
    <w:rsid w:val="00C53A16"/>
    <w:rsid w:val="00C53DA6"/>
    <w:rsid w:val="00C5509B"/>
    <w:rsid w:val="00C602C9"/>
    <w:rsid w:val="00C60782"/>
    <w:rsid w:val="00C60D89"/>
    <w:rsid w:val="00C60DE4"/>
    <w:rsid w:val="00C6120F"/>
    <w:rsid w:val="00C64503"/>
    <w:rsid w:val="00C65307"/>
    <w:rsid w:val="00C65784"/>
    <w:rsid w:val="00C70331"/>
    <w:rsid w:val="00C709F6"/>
    <w:rsid w:val="00C70E7F"/>
    <w:rsid w:val="00C7123C"/>
    <w:rsid w:val="00C73246"/>
    <w:rsid w:val="00C73FAB"/>
    <w:rsid w:val="00C7694B"/>
    <w:rsid w:val="00C76C29"/>
    <w:rsid w:val="00C774B1"/>
    <w:rsid w:val="00C77744"/>
    <w:rsid w:val="00C77F7E"/>
    <w:rsid w:val="00C80006"/>
    <w:rsid w:val="00C80E81"/>
    <w:rsid w:val="00C8193A"/>
    <w:rsid w:val="00C81F47"/>
    <w:rsid w:val="00C82364"/>
    <w:rsid w:val="00C846D1"/>
    <w:rsid w:val="00C8639A"/>
    <w:rsid w:val="00C867EC"/>
    <w:rsid w:val="00C86D02"/>
    <w:rsid w:val="00C86D59"/>
    <w:rsid w:val="00C86E0F"/>
    <w:rsid w:val="00C87E30"/>
    <w:rsid w:val="00C91009"/>
    <w:rsid w:val="00C921D6"/>
    <w:rsid w:val="00C9255B"/>
    <w:rsid w:val="00C93BFA"/>
    <w:rsid w:val="00C94E32"/>
    <w:rsid w:val="00C96CCA"/>
    <w:rsid w:val="00C96DFA"/>
    <w:rsid w:val="00C9747A"/>
    <w:rsid w:val="00C97DF0"/>
    <w:rsid w:val="00C97F91"/>
    <w:rsid w:val="00CA3F95"/>
    <w:rsid w:val="00CA49CA"/>
    <w:rsid w:val="00CA506C"/>
    <w:rsid w:val="00CA6003"/>
    <w:rsid w:val="00CA6EBE"/>
    <w:rsid w:val="00CB13D2"/>
    <w:rsid w:val="00CB2335"/>
    <w:rsid w:val="00CB2993"/>
    <w:rsid w:val="00CB2A7C"/>
    <w:rsid w:val="00CB2FCA"/>
    <w:rsid w:val="00CB39B5"/>
    <w:rsid w:val="00CB3F51"/>
    <w:rsid w:val="00CB4018"/>
    <w:rsid w:val="00CB46D0"/>
    <w:rsid w:val="00CB47F0"/>
    <w:rsid w:val="00CB4E94"/>
    <w:rsid w:val="00CB56BD"/>
    <w:rsid w:val="00CB6132"/>
    <w:rsid w:val="00CC038B"/>
    <w:rsid w:val="00CC1343"/>
    <w:rsid w:val="00CC1852"/>
    <w:rsid w:val="00CC1D59"/>
    <w:rsid w:val="00CC34C0"/>
    <w:rsid w:val="00CC44B1"/>
    <w:rsid w:val="00CC466B"/>
    <w:rsid w:val="00CC4934"/>
    <w:rsid w:val="00CC7CA9"/>
    <w:rsid w:val="00CD015B"/>
    <w:rsid w:val="00CD24A3"/>
    <w:rsid w:val="00CD2FAB"/>
    <w:rsid w:val="00CD3605"/>
    <w:rsid w:val="00CD4061"/>
    <w:rsid w:val="00CD431F"/>
    <w:rsid w:val="00CD624F"/>
    <w:rsid w:val="00CD667F"/>
    <w:rsid w:val="00CD6F03"/>
    <w:rsid w:val="00CD7083"/>
    <w:rsid w:val="00CD70EB"/>
    <w:rsid w:val="00CE022E"/>
    <w:rsid w:val="00CE06F6"/>
    <w:rsid w:val="00CE0AC6"/>
    <w:rsid w:val="00CE10D9"/>
    <w:rsid w:val="00CE1EFF"/>
    <w:rsid w:val="00CE5BA4"/>
    <w:rsid w:val="00CE5EEA"/>
    <w:rsid w:val="00CE6281"/>
    <w:rsid w:val="00CE7FF6"/>
    <w:rsid w:val="00CF032B"/>
    <w:rsid w:val="00CF0811"/>
    <w:rsid w:val="00CF0965"/>
    <w:rsid w:val="00CF195C"/>
    <w:rsid w:val="00CF1EE1"/>
    <w:rsid w:val="00CF1EFE"/>
    <w:rsid w:val="00CF25DA"/>
    <w:rsid w:val="00CF4939"/>
    <w:rsid w:val="00CF5444"/>
    <w:rsid w:val="00CF615C"/>
    <w:rsid w:val="00CF738A"/>
    <w:rsid w:val="00CF7537"/>
    <w:rsid w:val="00CF7A27"/>
    <w:rsid w:val="00CF7B55"/>
    <w:rsid w:val="00D011FC"/>
    <w:rsid w:val="00D016F9"/>
    <w:rsid w:val="00D0437C"/>
    <w:rsid w:val="00D0724B"/>
    <w:rsid w:val="00D10356"/>
    <w:rsid w:val="00D117EE"/>
    <w:rsid w:val="00D122BF"/>
    <w:rsid w:val="00D12B42"/>
    <w:rsid w:val="00D133DE"/>
    <w:rsid w:val="00D13E5D"/>
    <w:rsid w:val="00D14537"/>
    <w:rsid w:val="00D151BD"/>
    <w:rsid w:val="00D1698A"/>
    <w:rsid w:val="00D21A0D"/>
    <w:rsid w:val="00D24C07"/>
    <w:rsid w:val="00D24E7E"/>
    <w:rsid w:val="00D250E7"/>
    <w:rsid w:val="00D25B8D"/>
    <w:rsid w:val="00D2625A"/>
    <w:rsid w:val="00D279C0"/>
    <w:rsid w:val="00D27BB5"/>
    <w:rsid w:val="00D304D7"/>
    <w:rsid w:val="00D3062B"/>
    <w:rsid w:val="00D338C6"/>
    <w:rsid w:val="00D33CF0"/>
    <w:rsid w:val="00D34123"/>
    <w:rsid w:val="00D3548A"/>
    <w:rsid w:val="00D35559"/>
    <w:rsid w:val="00D36DD8"/>
    <w:rsid w:val="00D36F4B"/>
    <w:rsid w:val="00D40250"/>
    <w:rsid w:val="00D40F0B"/>
    <w:rsid w:val="00D4116E"/>
    <w:rsid w:val="00D41B05"/>
    <w:rsid w:val="00D4294B"/>
    <w:rsid w:val="00D42D70"/>
    <w:rsid w:val="00D44A7D"/>
    <w:rsid w:val="00D45526"/>
    <w:rsid w:val="00D46D3E"/>
    <w:rsid w:val="00D47303"/>
    <w:rsid w:val="00D50062"/>
    <w:rsid w:val="00D50312"/>
    <w:rsid w:val="00D50F10"/>
    <w:rsid w:val="00D52C10"/>
    <w:rsid w:val="00D54F31"/>
    <w:rsid w:val="00D54F3F"/>
    <w:rsid w:val="00D55EFD"/>
    <w:rsid w:val="00D56EEF"/>
    <w:rsid w:val="00D571C0"/>
    <w:rsid w:val="00D572E8"/>
    <w:rsid w:val="00D575EE"/>
    <w:rsid w:val="00D57D83"/>
    <w:rsid w:val="00D600D6"/>
    <w:rsid w:val="00D61E26"/>
    <w:rsid w:val="00D61E3E"/>
    <w:rsid w:val="00D63EC7"/>
    <w:rsid w:val="00D646B5"/>
    <w:rsid w:val="00D655A6"/>
    <w:rsid w:val="00D659EE"/>
    <w:rsid w:val="00D66E36"/>
    <w:rsid w:val="00D675A8"/>
    <w:rsid w:val="00D6791C"/>
    <w:rsid w:val="00D71AA4"/>
    <w:rsid w:val="00D7289C"/>
    <w:rsid w:val="00D739B2"/>
    <w:rsid w:val="00D73AFF"/>
    <w:rsid w:val="00D7531A"/>
    <w:rsid w:val="00D758DD"/>
    <w:rsid w:val="00D759A0"/>
    <w:rsid w:val="00D763F7"/>
    <w:rsid w:val="00D773A1"/>
    <w:rsid w:val="00D81107"/>
    <w:rsid w:val="00D84AAA"/>
    <w:rsid w:val="00D87744"/>
    <w:rsid w:val="00D8799B"/>
    <w:rsid w:val="00D91351"/>
    <w:rsid w:val="00D919FF"/>
    <w:rsid w:val="00D926BE"/>
    <w:rsid w:val="00D93D70"/>
    <w:rsid w:val="00D941CB"/>
    <w:rsid w:val="00D94C4A"/>
    <w:rsid w:val="00D94EFE"/>
    <w:rsid w:val="00D95B7C"/>
    <w:rsid w:val="00D965D0"/>
    <w:rsid w:val="00DA0131"/>
    <w:rsid w:val="00DA11E4"/>
    <w:rsid w:val="00DA14C9"/>
    <w:rsid w:val="00DA26F1"/>
    <w:rsid w:val="00DA2CEF"/>
    <w:rsid w:val="00DA37EB"/>
    <w:rsid w:val="00DA3D60"/>
    <w:rsid w:val="00DA3E09"/>
    <w:rsid w:val="00DA69DD"/>
    <w:rsid w:val="00DA7A03"/>
    <w:rsid w:val="00DB2728"/>
    <w:rsid w:val="00DB44E2"/>
    <w:rsid w:val="00DB4E86"/>
    <w:rsid w:val="00DB6668"/>
    <w:rsid w:val="00DB6F07"/>
    <w:rsid w:val="00DB764F"/>
    <w:rsid w:val="00DB7DCE"/>
    <w:rsid w:val="00DC0241"/>
    <w:rsid w:val="00DC1CCF"/>
    <w:rsid w:val="00DC1DA3"/>
    <w:rsid w:val="00DC1EC3"/>
    <w:rsid w:val="00DC20C7"/>
    <w:rsid w:val="00DC2383"/>
    <w:rsid w:val="00DC2BC7"/>
    <w:rsid w:val="00DC3C4E"/>
    <w:rsid w:val="00DC3F1A"/>
    <w:rsid w:val="00DC4051"/>
    <w:rsid w:val="00DC5D81"/>
    <w:rsid w:val="00DC65AC"/>
    <w:rsid w:val="00DC6717"/>
    <w:rsid w:val="00DC6C05"/>
    <w:rsid w:val="00DD15F9"/>
    <w:rsid w:val="00DD32BF"/>
    <w:rsid w:val="00DD3D2C"/>
    <w:rsid w:val="00DD43C9"/>
    <w:rsid w:val="00DD59EE"/>
    <w:rsid w:val="00DD6338"/>
    <w:rsid w:val="00DD78B4"/>
    <w:rsid w:val="00DE189A"/>
    <w:rsid w:val="00DE56D3"/>
    <w:rsid w:val="00DE5757"/>
    <w:rsid w:val="00DE715A"/>
    <w:rsid w:val="00DF146C"/>
    <w:rsid w:val="00DF23C7"/>
    <w:rsid w:val="00DF262F"/>
    <w:rsid w:val="00DF33CC"/>
    <w:rsid w:val="00DF42C8"/>
    <w:rsid w:val="00DF492F"/>
    <w:rsid w:val="00DF64F5"/>
    <w:rsid w:val="00DF6ED0"/>
    <w:rsid w:val="00DF7108"/>
    <w:rsid w:val="00E010C4"/>
    <w:rsid w:val="00E0137A"/>
    <w:rsid w:val="00E017BE"/>
    <w:rsid w:val="00E0193A"/>
    <w:rsid w:val="00E0194A"/>
    <w:rsid w:val="00E02548"/>
    <w:rsid w:val="00E02569"/>
    <w:rsid w:val="00E02CB8"/>
    <w:rsid w:val="00E03027"/>
    <w:rsid w:val="00E045AB"/>
    <w:rsid w:val="00E06372"/>
    <w:rsid w:val="00E0658B"/>
    <w:rsid w:val="00E0664C"/>
    <w:rsid w:val="00E11711"/>
    <w:rsid w:val="00E12BE9"/>
    <w:rsid w:val="00E14DEF"/>
    <w:rsid w:val="00E15122"/>
    <w:rsid w:val="00E175C4"/>
    <w:rsid w:val="00E214E1"/>
    <w:rsid w:val="00E218BB"/>
    <w:rsid w:val="00E22F5C"/>
    <w:rsid w:val="00E2307F"/>
    <w:rsid w:val="00E2487C"/>
    <w:rsid w:val="00E250B8"/>
    <w:rsid w:val="00E251AB"/>
    <w:rsid w:val="00E25B05"/>
    <w:rsid w:val="00E2600A"/>
    <w:rsid w:val="00E2629E"/>
    <w:rsid w:val="00E26836"/>
    <w:rsid w:val="00E27E5E"/>
    <w:rsid w:val="00E3092B"/>
    <w:rsid w:val="00E30B02"/>
    <w:rsid w:val="00E311FB"/>
    <w:rsid w:val="00E31A01"/>
    <w:rsid w:val="00E33128"/>
    <w:rsid w:val="00E3372D"/>
    <w:rsid w:val="00E33817"/>
    <w:rsid w:val="00E33E18"/>
    <w:rsid w:val="00E350F7"/>
    <w:rsid w:val="00E3554B"/>
    <w:rsid w:val="00E36492"/>
    <w:rsid w:val="00E366DF"/>
    <w:rsid w:val="00E371F6"/>
    <w:rsid w:val="00E374E6"/>
    <w:rsid w:val="00E409C0"/>
    <w:rsid w:val="00E40C9D"/>
    <w:rsid w:val="00E41D6A"/>
    <w:rsid w:val="00E44007"/>
    <w:rsid w:val="00E44A24"/>
    <w:rsid w:val="00E457EE"/>
    <w:rsid w:val="00E4598A"/>
    <w:rsid w:val="00E46195"/>
    <w:rsid w:val="00E462D2"/>
    <w:rsid w:val="00E46744"/>
    <w:rsid w:val="00E47B41"/>
    <w:rsid w:val="00E500B6"/>
    <w:rsid w:val="00E51510"/>
    <w:rsid w:val="00E518B0"/>
    <w:rsid w:val="00E51D18"/>
    <w:rsid w:val="00E536F5"/>
    <w:rsid w:val="00E53744"/>
    <w:rsid w:val="00E538B5"/>
    <w:rsid w:val="00E53B5A"/>
    <w:rsid w:val="00E5503B"/>
    <w:rsid w:val="00E55A6B"/>
    <w:rsid w:val="00E56AE0"/>
    <w:rsid w:val="00E57805"/>
    <w:rsid w:val="00E607E8"/>
    <w:rsid w:val="00E60C69"/>
    <w:rsid w:val="00E619E5"/>
    <w:rsid w:val="00E65B0B"/>
    <w:rsid w:val="00E70A6D"/>
    <w:rsid w:val="00E70C6B"/>
    <w:rsid w:val="00E71CAB"/>
    <w:rsid w:val="00E73A72"/>
    <w:rsid w:val="00E77233"/>
    <w:rsid w:val="00E81966"/>
    <w:rsid w:val="00E833D8"/>
    <w:rsid w:val="00E8406A"/>
    <w:rsid w:val="00E85330"/>
    <w:rsid w:val="00E85ED2"/>
    <w:rsid w:val="00E87FD7"/>
    <w:rsid w:val="00E90453"/>
    <w:rsid w:val="00E90E51"/>
    <w:rsid w:val="00E91A89"/>
    <w:rsid w:val="00E91B38"/>
    <w:rsid w:val="00E92BDB"/>
    <w:rsid w:val="00E93176"/>
    <w:rsid w:val="00E93921"/>
    <w:rsid w:val="00E94160"/>
    <w:rsid w:val="00E949B7"/>
    <w:rsid w:val="00E97F27"/>
    <w:rsid w:val="00EA1527"/>
    <w:rsid w:val="00EA2B1C"/>
    <w:rsid w:val="00EA319A"/>
    <w:rsid w:val="00EA412D"/>
    <w:rsid w:val="00EA5071"/>
    <w:rsid w:val="00EA6291"/>
    <w:rsid w:val="00EA7647"/>
    <w:rsid w:val="00EA7CD9"/>
    <w:rsid w:val="00EB1028"/>
    <w:rsid w:val="00EB111B"/>
    <w:rsid w:val="00EB15F8"/>
    <w:rsid w:val="00EB1A65"/>
    <w:rsid w:val="00EB2466"/>
    <w:rsid w:val="00EB2985"/>
    <w:rsid w:val="00EB454E"/>
    <w:rsid w:val="00EB490D"/>
    <w:rsid w:val="00EB5C03"/>
    <w:rsid w:val="00EB6D78"/>
    <w:rsid w:val="00EC0038"/>
    <w:rsid w:val="00EC2F34"/>
    <w:rsid w:val="00EC3DAF"/>
    <w:rsid w:val="00EC3DC5"/>
    <w:rsid w:val="00EC579D"/>
    <w:rsid w:val="00EC6AF8"/>
    <w:rsid w:val="00EC746A"/>
    <w:rsid w:val="00EC7981"/>
    <w:rsid w:val="00ED0A15"/>
    <w:rsid w:val="00ED2710"/>
    <w:rsid w:val="00ED3114"/>
    <w:rsid w:val="00ED3E6B"/>
    <w:rsid w:val="00ED510E"/>
    <w:rsid w:val="00ED7115"/>
    <w:rsid w:val="00ED7A61"/>
    <w:rsid w:val="00EE0F08"/>
    <w:rsid w:val="00EE147A"/>
    <w:rsid w:val="00EE226F"/>
    <w:rsid w:val="00EE3AC5"/>
    <w:rsid w:val="00EE4364"/>
    <w:rsid w:val="00EE45F3"/>
    <w:rsid w:val="00EE55C7"/>
    <w:rsid w:val="00EE5DD3"/>
    <w:rsid w:val="00EE6A2B"/>
    <w:rsid w:val="00EE6E0A"/>
    <w:rsid w:val="00EE6E15"/>
    <w:rsid w:val="00EE6FF4"/>
    <w:rsid w:val="00EE7BC5"/>
    <w:rsid w:val="00EF19B9"/>
    <w:rsid w:val="00EF2902"/>
    <w:rsid w:val="00EF56E5"/>
    <w:rsid w:val="00EF641C"/>
    <w:rsid w:val="00EF6655"/>
    <w:rsid w:val="00EF710F"/>
    <w:rsid w:val="00EF753E"/>
    <w:rsid w:val="00F03016"/>
    <w:rsid w:val="00F05A06"/>
    <w:rsid w:val="00F05F05"/>
    <w:rsid w:val="00F06C7F"/>
    <w:rsid w:val="00F06D1D"/>
    <w:rsid w:val="00F07ED4"/>
    <w:rsid w:val="00F1090D"/>
    <w:rsid w:val="00F11506"/>
    <w:rsid w:val="00F116BD"/>
    <w:rsid w:val="00F1356E"/>
    <w:rsid w:val="00F13771"/>
    <w:rsid w:val="00F13A97"/>
    <w:rsid w:val="00F13BD2"/>
    <w:rsid w:val="00F13CC4"/>
    <w:rsid w:val="00F15083"/>
    <w:rsid w:val="00F1581E"/>
    <w:rsid w:val="00F17472"/>
    <w:rsid w:val="00F20B8B"/>
    <w:rsid w:val="00F212C6"/>
    <w:rsid w:val="00F22ACF"/>
    <w:rsid w:val="00F23914"/>
    <w:rsid w:val="00F23F45"/>
    <w:rsid w:val="00F25162"/>
    <w:rsid w:val="00F25ADD"/>
    <w:rsid w:val="00F25B46"/>
    <w:rsid w:val="00F25D9D"/>
    <w:rsid w:val="00F266F6"/>
    <w:rsid w:val="00F26A89"/>
    <w:rsid w:val="00F300C8"/>
    <w:rsid w:val="00F3068C"/>
    <w:rsid w:val="00F30F3A"/>
    <w:rsid w:val="00F3430F"/>
    <w:rsid w:val="00F34A2A"/>
    <w:rsid w:val="00F34E34"/>
    <w:rsid w:val="00F35171"/>
    <w:rsid w:val="00F35475"/>
    <w:rsid w:val="00F363B9"/>
    <w:rsid w:val="00F36B3E"/>
    <w:rsid w:val="00F37CBA"/>
    <w:rsid w:val="00F40C7F"/>
    <w:rsid w:val="00F41A56"/>
    <w:rsid w:val="00F41C26"/>
    <w:rsid w:val="00F43907"/>
    <w:rsid w:val="00F463DE"/>
    <w:rsid w:val="00F467B0"/>
    <w:rsid w:val="00F47111"/>
    <w:rsid w:val="00F523E7"/>
    <w:rsid w:val="00F53508"/>
    <w:rsid w:val="00F53C89"/>
    <w:rsid w:val="00F5439F"/>
    <w:rsid w:val="00F544AB"/>
    <w:rsid w:val="00F557C3"/>
    <w:rsid w:val="00F56109"/>
    <w:rsid w:val="00F60402"/>
    <w:rsid w:val="00F621EB"/>
    <w:rsid w:val="00F6256B"/>
    <w:rsid w:val="00F6357E"/>
    <w:rsid w:val="00F63994"/>
    <w:rsid w:val="00F6704A"/>
    <w:rsid w:val="00F67616"/>
    <w:rsid w:val="00F67E18"/>
    <w:rsid w:val="00F7035F"/>
    <w:rsid w:val="00F704AD"/>
    <w:rsid w:val="00F70630"/>
    <w:rsid w:val="00F73827"/>
    <w:rsid w:val="00F74A22"/>
    <w:rsid w:val="00F75373"/>
    <w:rsid w:val="00F76AE0"/>
    <w:rsid w:val="00F7731F"/>
    <w:rsid w:val="00F77BF7"/>
    <w:rsid w:val="00F800DA"/>
    <w:rsid w:val="00F8070E"/>
    <w:rsid w:val="00F80BD2"/>
    <w:rsid w:val="00F81054"/>
    <w:rsid w:val="00F81568"/>
    <w:rsid w:val="00F8174D"/>
    <w:rsid w:val="00F837E1"/>
    <w:rsid w:val="00F84655"/>
    <w:rsid w:val="00F8491A"/>
    <w:rsid w:val="00F856A6"/>
    <w:rsid w:val="00F86A15"/>
    <w:rsid w:val="00F86AEE"/>
    <w:rsid w:val="00F905C9"/>
    <w:rsid w:val="00F916BE"/>
    <w:rsid w:val="00F924C2"/>
    <w:rsid w:val="00F93FCB"/>
    <w:rsid w:val="00F9478B"/>
    <w:rsid w:val="00F947F3"/>
    <w:rsid w:val="00F95143"/>
    <w:rsid w:val="00FA0351"/>
    <w:rsid w:val="00FA06E4"/>
    <w:rsid w:val="00FA0AD4"/>
    <w:rsid w:val="00FA17D2"/>
    <w:rsid w:val="00FA2CD9"/>
    <w:rsid w:val="00FA3084"/>
    <w:rsid w:val="00FA42D4"/>
    <w:rsid w:val="00FA472B"/>
    <w:rsid w:val="00FA482B"/>
    <w:rsid w:val="00FA759E"/>
    <w:rsid w:val="00FB1CFB"/>
    <w:rsid w:val="00FB21F5"/>
    <w:rsid w:val="00FB23E6"/>
    <w:rsid w:val="00FB2F38"/>
    <w:rsid w:val="00FB30E3"/>
    <w:rsid w:val="00FB3531"/>
    <w:rsid w:val="00FB3C04"/>
    <w:rsid w:val="00FB3DAD"/>
    <w:rsid w:val="00FB59D5"/>
    <w:rsid w:val="00FB7AD7"/>
    <w:rsid w:val="00FB7E24"/>
    <w:rsid w:val="00FC1D41"/>
    <w:rsid w:val="00FC2E73"/>
    <w:rsid w:val="00FC3A19"/>
    <w:rsid w:val="00FC47D1"/>
    <w:rsid w:val="00FC5512"/>
    <w:rsid w:val="00FC5BB5"/>
    <w:rsid w:val="00FC74A4"/>
    <w:rsid w:val="00FC759D"/>
    <w:rsid w:val="00FD2D8E"/>
    <w:rsid w:val="00FD32D3"/>
    <w:rsid w:val="00FD32D5"/>
    <w:rsid w:val="00FD5087"/>
    <w:rsid w:val="00FD58E9"/>
    <w:rsid w:val="00FD685D"/>
    <w:rsid w:val="00FD7DD5"/>
    <w:rsid w:val="00FE04E0"/>
    <w:rsid w:val="00FE141C"/>
    <w:rsid w:val="00FE26D4"/>
    <w:rsid w:val="00FE26FF"/>
    <w:rsid w:val="00FE3A43"/>
    <w:rsid w:val="00FE3E04"/>
    <w:rsid w:val="00FE4BA0"/>
    <w:rsid w:val="00FE5F58"/>
    <w:rsid w:val="00FE7198"/>
    <w:rsid w:val="00FF1994"/>
    <w:rsid w:val="00FF1BF2"/>
    <w:rsid w:val="00FF2758"/>
    <w:rsid w:val="00FF2D08"/>
    <w:rsid w:val="00FF393F"/>
    <w:rsid w:val="00FF3A84"/>
    <w:rsid w:val="00FF3FB5"/>
    <w:rsid w:val="00FF6A27"/>
    <w:rsid w:val="00FF7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b2b2b2,#dadada,#eaeaea,#981b2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A0773"/>
    <w:pPr>
      <w:widowControl w:val="0"/>
      <w:jc w:val="both"/>
    </w:pPr>
    <w:rPr>
      <w:kern w:val="2"/>
      <w:sz w:val="21"/>
      <w:szCs w:val="24"/>
    </w:rPr>
  </w:style>
  <w:style w:type="paragraph" w:styleId="1">
    <w:name w:val="heading 1"/>
    <w:basedOn w:val="a"/>
    <w:next w:val="a"/>
    <w:link w:val="1Char"/>
    <w:qFormat/>
    <w:rsid w:val="00E30B0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171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3414D"/>
    <w:pPr>
      <w:keepNext/>
      <w:keepLines/>
      <w:spacing w:before="260" w:after="260" w:line="416" w:lineRule="auto"/>
      <w:outlineLvl w:val="2"/>
    </w:pPr>
    <w:rPr>
      <w:b/>
      <w:bCs/>
      <w:sz w:val="32"/>
      <w:szCs w:val="32"/>
    </w:rPr>
  </w:style>
  <w:style w:type="paragraph" w:styleId="4">
    <w:name w:val="heading 4"/>
    <w:basedOn w:val="a"/>
    <w:next w:val="a"/>
    <w:qFormat/>
    <w:rsid w:val="006441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4412D"/>
    <w:pPr>
      <w:keepNext/>
      <w:keepLines/>
      <w:spacing w:before="280" w:after="290" w:line="376" w:lineRule="auto"/>
      <w:outlineLvl w:val="4"/>
    </w:pPr>
    <w:rPr>
      <w:b/>
      <w:bCs/>
      <w:sz w:val="28"/>
      <w:szCs w:val="28"/>
    </w:rPr>
  </w:style>
  <w:style w:type="paragraph" w:styleId="6">
    <w:name w:val="heading 6"/>
    <w:basedOn w:val="a"/>
    <w:next w:val="a"/>
    <w:qFormat/>
    <w:rsid w:val="0064412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4412D"/>
    <w:pPr>
      <w:keepNext/>
      <w:keepLines/>
      <w:spacing w:before="240" w:after="64" w:line="320" w:lineRule="auto"/>
      <w:outlineLvl w:val="6"/>
    </w:pPr>
    <w:rPr>
      <w:b/>
      <w:bCs/>
      <w:sz w:val="24"/>
    </w:rPr>
  </w:style>
  <w:style w:type="paragraph" w:styleId="8">
    <w:name w:val="heading 8"/>
    <w:basedOn w:val="a"/>
    <w:next w:val="a"/>
    <w:qFormat/>
    <w:rsid w:val="0064412D"/>
    <w:pPr>
      <w:keepNext/>
      <w:keepLines/>
      <w:spacing w:before="240" w:after="64" w:line="320" w:lineRule="auto"/>
      <w:outlineLvl w:val="7"/>
    </w:pPr>
    <w:rPr>
      <w:rFonts w:ascii="Arial" w:eastAsia="黑体" w:hAnsi="Arial"/>
      <w:sz w:val="24"/>
    </w:rPr>
  </w:style>
  <w:style w:type="paragraph" w:styleId="9">
    <w:name w:val="heading 9"/>
    <w:basedOn w:val="a"/>
    <w:next w:val="a"/>
    <w:qFormat/>
    <w:rsid w:val="0064412D"/>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30B02"/>
    <w:rPr>
      <w:b/>
      <w:bCs/>
      <w:kern w:val="44"/>
      <w:sz w:val="44"/>
      <w:szCs w:val="44"/>
    </w:rPr>
  </w:style>
  <w:style w:type="character" w:customStyle="1" w:styleId="2Char">
    <w:name w:val="标题 2 Char"/>
    <w:link w:val="2"/>
    <w:rsid w:val="00E30B02"/>
    <w:rPr>
      <w:rFonts w:ascii="Arial" w:eastAsia="黑体" w:hAnsi="Arial"/>
      <w:b/>
      <w:bCs/>
      <w:kern w:val="2"/>
      <w:sz w:val="32"/>
      <w:szCs w:val="32"/>
    </w:rPr>
  </w:style>
  <w:style w:type="character" w:customStyle="1" w:styleId="3Char">
    <w:name w:val="标题 3 Char"/>
    <w:link w:val="3"/>
    <w:semiHidden/>
    <w:rsid w:val="00B3414D"/>
    <w:rPr>
      <w:b/>
      <w:bCs/>
      <w:kern w:val="2"/>
      <w:sz w:val="32"/>
      <w:szCs w:val="32"/>
    </w:rPr>
  </w:style>
  <w:style w:type="table" w:styleId="a3">
    <w:name w:val="Table Theme"/>
    <w:basedOn w:val="a1"/>
    <w:rsid w:val="005B41F3"/>
    <w:pPr>
      <w:widowControl w:val="0"/>
      <w:jc w:val="both"/>
    </w:pPr>
    <w:rPr>
      <w:rFonts w:eastAsia="楷体_GB2312"/>
      <w:color w:val="00327D"/>
      <w:sz w:val="16"/>
    </w:rPr>
    <w:tblPr>
      <w:tblInd w:w="0" w:type="dxa"/>
      <w:tblCellMar>
        <w:top w:w="0" w:type="dxa"/>
        <w:left w:w="108" w:type="dxa"/>
        <w:bottom w:w="0" w:type="dxa"/>
        <w:right w:w="108" w:type="dxa"/>
      </w:tblCellMar>
    </w:tblPr>
    <w:tblStylePr w:type="firstRow">
      <w:rPr>
        <w:rFonts w:ascii="Times New Roman" w:eastAsia="Verdana" w:hAnsi="Times New Roman"/>
        <w:b/>
        <w:sz w:val="16"/>
      </w:rPr>
      <w:tblPr/>
      <w:tcPr>
        <w:tcBorders>
          <w:top w:val="nil"/>
          <w:left w:val="nil"/>
          <w:bottom w:val="single" w:sz="8" w:space="0" w:color="00327D"/>
          <w:right w:val="nil"/>
          <w:insideH w:val="nil"/>
          <w:insideV w:val="nil"/>
          <w:tl2br w:val="nil"/>
          <w:tr2bl w:val="nil"/>
        </w:tcBorders>
        <w:shd w:val="clear" w:color="auto" w:fill="D6D6EB"/>
      </w:tcPr>
    </w:tblStylePr>
    <w:tblStylePr w:type="lastRow">
      <w:rPr>
        <w:rFonts w:ascii="Times New Roman" w:eastAsia="Verdana" w:hAnsi="Times New Roman"/>
        <w:sz w:val="16"/>
      </w:rPr>
      <w:tblPr/>
      <w:tcPr>
        <w:tcBorders>
          <w:top w:val="nil"/>
          <w:left w:val="nil"/>
          <w:bottom w:val="single" w:sz="8" w:space="0" w:color="00327D"/>
          <w:right w:val="nil"/>
          <w:insideH w:val="nil"/>
          <w:insideV w:val="nil"/>
          <w:tl2br w:val="nil"/>
          <w:tr2bl w:val="nil"/>
        </w:tcBorders>
      </w:tcPr>
    </w:tblStylePr>
  </w:style>
  <w:style w:type="paragraph" w:styleId="a4">
    <w:name w:val="header"/>
    <w:basedOn w:val="a"/>
    <w:link w:val="Char"/>
    <w:rsid w:val="00027B5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30B02"/>
    <w:rPr>
      <w:kern w:val="2"/>
      <w:sz w:val="18"/>
      <w:szCs w:val="18"/>
    </w:rPr>
  </w:style>
  <w:style w:type="paragraph" w:styleId="a5">
    <w:name w:val="footer"/>
    <w:basedOn w:val="a"/>
    <w:rsid w:val="00027B5F"/>
    <w:pPr>
      <w:tabs>
        <w:tab w:val="center" w:pos="4153"/>
        <w:tab w:val="right" w:pos="8306"/>
      </w:tabs>
      <w:snapToGrid w:val="0"/>
      <w:jc w:val="left"/>
    </w:pPr>
    <w:rPr>
      <w:sz w:val="18"/>
      <w:szCs w:val="18"/>
    </w:rPr>
  </w:style>
  <w:style w:type="character" w:styleId="a6">
    <w:name w:val="page number"/>
    <w:basedOn w:val="a0"/>
    <w:rsid w:val="00027B5F"/>
  </w:style>
  <w:style w:type="table" w:styleId="a7">
    <w:name w:val="Table Grid"/>
    <w:basedOn w:val="a1"/>
    <w:rsid w:val="00027B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834245"/>
    <w:rPr>
      <w:color w:val="0000FF"/>
      <w:u w:val="single"/>
    </w:rPr>
  </w:style>
  <w:style w:type="paragraph" w:styleId="10">
    <w:name w:val="toc 1"/>
    <w:next w:val="a"/>
    <w:uiPriority w:val="39"/>
    <w:rsid w:val="00E92BDB"/>
    <w:pPr>
      <w:tabs>
        <w:tab w:val="right" w:leader="dot" w:pos="10195"/>
      </w:tabs>
    </w:pPr>
    <w:rPr>
      <w:rFonts w:eastAsia="楷体_GB2312"/>
      <w:b/>
      <w:bCs/>
      <w:caps/>
      <w:noProof/>
      <w:kern w:val="2"/>
    </w:rPr>
  </w:style>
  <w:style w:type="paragraph" w:styleId="20">
    <w:name w:val="toc 2"/>
    <w:next w:val="a"/>
    <w:uiPriority w:val="39"/>
    <w:rsid w:val="00E92BDB"/>
    <w:pPr>
      <w:tabs>
        <w:tab w:val="right" w:leader="dot" w:pos="10193"/>
      </w:tabs>
      <w:snapToGrid w:val="0"/>
      <w:ind w:leftChars="200" w:left="200"/>
    </w:pPr>
    <w:rPr>
      <w:rFonts w:eastAsia="楷体_GB2312"/>
      <w:noProof/>
      <w:kern w:val="2"/>
    </w:rPr>
  </w:style>
  <w:style w:type="paragraph" w:customStyle="1" w:styleId="21">
    <w:name w:val="2_(一)华融_标题二"/>
    <w:basedOn w:val="a"/>
    <w:next w:val="31"/>
    <w:link w:val="2Char0"/>
    <w:rsid w:val="005E17B2"/>
    <w:pPr>
      <w:spacing w:afterLines="100"/>
    </w:pPr>
    <w:rPr>
      <w:rFonts w:ascii="Arial" w:eastAsia="楷体_GB2312" w:hAnsi="Arial" w:cs="Arial"/>
      <w:b/>
      <w:sz w:val="25"/>
      <w:szCs w:val="28"/>
    </w:rPr>
  </w:style>
  <w:style w:type="paragraph" w:customStyle="1" w:styleId="31">
    <w:name w:val="3_[1]、华融_标题三"/>
    <w:basedOn w:val="40"/>
    <w:next w:val="40"/>
    <w:link w:val="31Char"/>
    <w:uiPriority w:val="99"/>
    <w:rsid w:val="00D4116E"/>
  </w:style>
  <w:style w:type="paragraph" w:customStyle="1" w:styleId="40">
    <w:name w:val="4_华融_标题四"/>
    <w:basedOn w:val="50"/>
    <w:next w:val="50"/>
    <w:link w:val="4Char"/>
    <w:rsid w:val="00D4116E"/>
  </w:style>
  <w:style w:type="paragraph" w:customStyle="1" w:styleId="50">
    <w:name w:val="5_华融正文"/>
    <w:basedOn w:val="a"/>
    <w:link w:val="5Char"/>
    <w:rsid w:val="00F37CBA"/>
    <w:pPr>
      <w:spacing w:afterLines="100"/>
      <w:ind w:rightChars="1300" w:right="1300" w:firstLineChars="200" w:firstLine="200"/>
    </w:pPr>
    <w:rPr>
      <w:rFonts w:ascii="Arial" w:eastAsia="楷体_GB2312" w:hAnsi="Arial"/>
      <w:color w:val="000000"/>
      <w:sz w:val="22"/>
      <w:szCs w:val="22"/>
    </w:rPr>
  </w:style>
  <w:style w:type="character" w:customStyle="1" w:styleId="5Char">
    <w:name w:val="5_华融正文 Char"/>
    <w:link w:val="50"/>
    <w:rsid w:val="00F37CBA"/>
    <w:rPr>
      <w:rFonts w:ascii="Arial" w:eastAsia="楷体_GB2312" w:hAnsi="Arial"/>
      <w:color w:val="000000"/>
      <w:kern w:val="2"/>
      <w:sz w:val="22"/>
      <w:szCs w:val="22"/>
      <w:lang w:val="en-US" w:eastAsia="zh-CN" w:bidi="ar-SA"/>
    </w:rPr>
  </w:style>
  <w:style w:type="paragraph" w:customStyle="1" w:styleId="60">
    <w:name w:val="6_华融图表标题"/>
    <w:basedOn w:val="50"/>
    <w:link w:val="6Char"/>
    <w:rsid w:val="00D4116E"/>
    <w:pPr>
      <w:spacing w:beforeLines="100" w:afterLines="0"/>
      <w:ind w:left="717" w:rightChars="0" w:right="0" w:hangingChars="397" w:hanging="717"/>
    </w:pPr>
    <w:rPr>
      <w:rFonts w:cs="Arial"/>
      <w:b/>
      <w:i/>
      <w:sz w:val="18"/>
      <w:szCs w:val="18"/>
    </w:rPr>
  </w:style>
  <w:style w:type="paragraph" w:customStyle="1" w:styleId="11">
    <w:name w:val="1_[一]、华融_标题一"/>
    <w:basedOn w:val="a"/>
    <w:next w:val="50"/>
    <w:link w:val="1Char0"/>
    <w:rsid w:val="005E17B2"/>
    <w:pPr>
      <w:spacing w:afterLines="100"/>
    </w:pPr>
    <w:rPr>
      <w:rFonts w:ascii="Arial" w:eastAsia="楷体_GB2312" w:hAnsi="Arial" w:cs="Arial"/>
      <w:b/>
      <w:color w:val="981B20"/>
      <w:sz w:val="28"/>
      <w:szCs w:val="28"/>
    </w:rPr>
  </w:style>
  <w:style w:type="paragraph" w:customStyle="1" w:styleId="90">
    <w:name w:val="9_华融资料来源"/>
    <w:basedOn w:val="a"/>
    <w:link w:val="9Char"/>
    <w:rsid w:val="006139A9"/>
    <w:pPr>
      <w:adjustRightInd w:val="0"/>
      <w:snapToGrid w:val="0"/>
      <w:spacing w:afterLines="100" w:line="240" w:lineRule="exact"/>
      <w:jc w:val="left"/>
    </w:pPr>
    <w:rPr>
      <w:rFonts w:ascii="Arial" w:eastAsia="楷体_GB2312" w:hAnsi="Arial" w:cs="Arial"/>
      <w:color w:val="000000"/>
      <w:sz w:val="16"/>
    </w:rPr>
  </w:style>
  <w:style w:type="paragraph" w:customStyle="1" w:styleId="a9">
    <w:name w:val="a华融_封面标题"/>
    <w:basedOn w:val="a"/>
    <w:link w:val="aCharChar"/>
    <w:rsid w:val="004E0A86"/>
    <w:pPr>
      <w:tabs>
        <w:tab w:val="left" w:pos="420"/>
      </w:tabs>
      <w:adjustRightInd w:val="0"/>
      <w:snapToGrid w:val="0"/>
      <w:ind w:leftChars="14" w:left="432" w:hangingChars="191" w:hanging="403"/>
    </w:pPr>
    <w:rPr>
      <w:rFonts w:ascii="Arial" w:eastAsia="楷体_GB2312" w:hAnsi="Arial" w:cs="Arial"/>
      <w:b/>
      <w:color w:val="981B20"/>
      <w:szCs w:val="21"/>
    </w:rPr>
  </w:style>
  <w:style w:type="character" w:customStyle="1" w:styleId="aCharChar">
    <w:name w:val="a华融_封面标题 Char Char"/>
    <w:link w:val="a9"/>
    <w:rsid w:val="004E0A86"/>
    <w:rPr>
      <w:rFonts w:ascii="Arial" w:eastAsia="楷体_GB2312" w:hAnsi="Arial" w:cs="Arial"/>
      <w:b/>
      <w:color w:val="981B20"/>
      <w:kern w:val="2"/>
      <w:sz w:val="21"/>
      <w:szCs w:val="21"/>
      <w:lang w:val="en-US" w:eastAsia="zh-CN" w:bidi="ar-SA"/>
    </w:rPr>
  </w:style>
  <w:style w:type="paragraph" w:customStyle="1" w:styleId="70">
    <w:name w:val="7_华融表格表头"/>
    <w:basedOn w:val="a"/>
    <w:link w:val="7Char"/>
    <w:qFormat/>
    <w:rsid w:val="00726203"/>
    <w:pPr>
      <w:spacing w:line="260" w:lineRule="exact"/>
      <w:jc w:val="left"/>
    </w:pPr>
    <w:rPr>
      <w:rFonts w:ascii="Arial" w:eastAsia="楷体_GB2312" w:hAnsi="Arial" w:cs="Arial"/>
      <w:b/>
      <w:sz w:val="18"/>
    </w:rPr>
  </w:style>
  <w:style w:type="paragraph" w:customStyle="1" w:styleId="80">
    <w:name w:val="8_华融表格表字"/>
    <w:basedOn w:val="70"/>
    <w:link w:val="8Char"/>
    <w:qFormat/>
    <w:rsid w:val="00726203"/>
    <w:pPr>
      <w:jc w:val="both"/>
    </w:pPr>
    <w:rPr>
      <w:b w:val="0"/>
    </w:rPr>
  </w:style>
  <w:style w:type="paragraph" w:customStyle="1" w:styleId="b">
    <w:name w:val="b华融_摘要正文"/>
    <w:basedOn w:val="a"/>
    <w:link w:val="bCharChar"/>
    <w:semiHidden/>
    <w:rsid w:val="00764E81"/>
    <w:pPr>
      <w:tabs>
        <w:tab w:val="left" w:pos="420"/>
      </w:tabs>
      <w:adjustRightInd w:val="0"/>
      <w:snapToGrid w:val="0"/>
      <w:spacing w:afterLines="50"/>
      <w:ind w:leftChars="200" w:left="420"/>
    </w:pPr>
    <w:rPr>
      <w:rFonts w:ascii="Arial" w:eastAsia="楷体_GB2312" w:hAnsi="Arial" w:cs="Arial"/>
      <w:szCs w:val="21"/>
    </w:rPr>
  </w:style>
  <w:style w:type="character" w:customStyle="1" w:styleId="bCharChar">
    <w:name w:val="b华融_摘要正文 Char Char"/>
    <w:link w:val="b"/>
    <w:rsid w:val="00764E81"/>
    <w:rPr>
      <w:rFonts w:ascii="Arial" w:eastAsia="楷体_GB2312" w:hAnsi="Arial" w:cs="Arial"/>
      <w:kern w:val="2"/>
      <w:sz w:val="21"/>
      <w:szCs w:val="21"/>
      <w:lang w:val="en-US" w:eastAsia="zh-CN" w:bidi="ar-SA"/>
    </w:rPr>
  </w:style>
  <w:style w:type="character" w:customStyle="1" w:styleId="hrsec">
    <w:name w:val="hrsec"/>
    <w:semiHidden/>
    <w:rsid w:val="005A7ABF"/>
    <w:rPr>
      <w:rFonts w:ascii="Arial" w:eastAsia="宋体" w:hAnsi="Arial" w:cs="Arial"/>
      <w:color w:val="auto"/>
      <w:sz w:val="18"/>
      <w:szCs w:val="20"/>
    </w:rPr>
  </w:style>
  <w:style w:type="character" w:styleId="aa">
    <w:name w:val="annotation reference"/>
    <w:rsid w:val="005A7ABF"/>
    <w:rPr>
      <w:sz w:val="21"/>
      <w:szCs w:val="21"/>
    </w:rPr>
  </w:style>
  <w:style w:type="paragraph" w:styleId="ab">
    <w:name w:val="annotation text"/>
    <w:basedOn w:val="a"/>
    <w:link w:val="Char0"/>
    <w:rsid w:val="005A7ABF"/>
    <w:pPr>
      <w:jc w:val="left"/>
    </w:pPr>
  </w:style>
  <w:style w:type="character" w:customStyle="1" w:styleId="Char0">
    <w:name w:val="批注文字 Char"/>
    <w:link w:val="ab"/>
    <w:rsid w:val="005A7ABF"/>
    <w:rPr>
      <w:rFonts w:eastAsia="宋体"/>
      <w:kern w:val="2"/>
      <w:sz w:val="21"/>
      <w:szCs w:val="24"/>
      <w:lang w:val="en-US" w:eastAsia="zh-CN" w:bidi="ar-SA"/>
    </w:rPr>
  </w:style>
  <w:style w:type="paragraph" w:styleId="ac">
    <w:name w:val="Balloon Text"/>
    <w:basedOn w:val="a"/>
    <w:semiHidden/>
    <w:rsid w:val="005A7ABF"/>
    <w:rPr>
      <w:sz w:val="18"/>
      <w:szCs w:val="18"/>
    </w:rPr>
  </w:style>
  <w:style w:type="paragraph" w:styleId="ad">
    <w:name w:val="table of figures"/>
    <w:basedOn w:val="a"/>
    <w:next w:val="a"/>
    <w:autoRedefine/>
    <w:uiPriority w:val="99"/>
    <w:rsid w:val="008A1067"/>
    <w:pPr>
      <w:spacing w:beforeLines="50"/>
    </w:pPr>
    <w:rPr>
      <w:rFonts w:eastAsia="楷体_GB2312"/>
      <w:sz w:val="20"/>
    </w:rPr>
  </w:style>
  <w:style w:type="paragraph" w:styleId="ae">
    <w:name w:val="caption"/>
    <w:basedOn w:val="a"/>
    <w:next w:val="a"/>
    <w:qFormat/>
    <w:rsid w:val="00355F51"/>
    <w:rPr>
      <w:rFonts w:ascii="Arial" w:eastAsia="黑体" w:hAnsi="Arial" w:cs="Arial"/>
      <w:sz w:val="20"/>
      <w:szCs w:val="20"/>
    </w:rPr>
  </w:style>
  <w:style w:type="paragraph" w:styleId="30">
    <w:name w:val="toc 3"/>
    <w:basedOn w:val="a"/>
    <w:next w:val="a"/>
    <w:uiPriority w:val="39"/>
    <w:rsid w:val="006251CD"/>
    <w:pPr>
      <w:tabs>
        <w:tab w:val="right" w:leader="dot" w:pos="10195"/>
      </w:tabs>
      <w:ind w:leftChars="200" w:left="200"/>
    </w:pPr>
    <w:rPr>
      <w:rFonts w:eastAsia="楷体_GB2312"/>
      <w:sz w:val="20"/>
    </w:rPr>
  </w:style>
  <w:style w:type="paragraph" w:styleId="41">
    <w:name w:val="toc 4"/>
    <w:basedOn w:val="a"/>
    <w:next w:val="a"/>
    <w:autoRedefine/>
    <w:semiHidden/>
    <w:rsid w:val="00CD431F"/>
    <w:pPr>
      <w:ind w:leftChars="600" w:left="1260"/>
    </w:pPr>
  </w:style>
  <w:style w:type="paragraph" w:styleId="51">
    <w:name w:val="toc 5"/>
    <w:basedOn w:val="a"/>
    <w:next w:val="a"/>
    <w:autoRedefine/>
    <w:semiHidden/>
    <w:rsid w:val="00CD431F"/>
    <w:pPr>
      <w:ind w:leftChars="800" w:left="1680"/>
    </w:pPr>
  </w:style>
  <w:style w:type="paragraph" w:styleId="61">
    <w:name w:val="toc 6"/>
    <w:basedOn w:val="a"/>
    <w:next w:val="a"/>
    <w:autoRedefine/>
    <w:semiHidden/>
    <w:rsid w:val="00CD431F"/>
    <w:pPr>
      <w:ind w:leftChars="1000" w:left="2100"/>
    </w:pPr>
  </w:style>
  <w:style w:type="paragraph" w:styleId="71">
    <w:name w:val="toc 7"/>
    <w:basedOn w:val="a"/>
    <w:next w:val="a"/>
    <w:autoRedefine/>
    <w:semiHidden/>
    <w:rsid w:val="00CD431F"/>
    <w:pPr>
      <w:ind w:leftChars="1200" w:left="2520"/>
    </w:pPr>
  </w:style>
  <w:style w:type="paragraph" w:styleId="81">
    <w:name w:val="toc 8"/>
    <w:basedOn w:val="a"/>
    <w:next w:val="a"/>
    <w:autoRedefine/>
    <w:semiHidden/>
    <w:rsid w:val="00CD431F"/>
    <w:pPr>
      <w:ind w:leftChars="1400" w:left="2940"/>
    </w:pPr>
  </w:style>
  <w:style w:type="paragraph" w:styleId="91">
    <w:name w:val="toc 9"/>
    <w:basedOn w:val="a"/>
    <w:next w:val="a"/>
    <w:autoRedefine/>
    <w:semiHidden/>
    <w:rsid w:val="00CD431F"/>
    <w:pPr>
      <w:ind w:leftChars="1600" w:left="3360"/>
    </w:pPr>
  </w:style>
  <w:style w:type="paragraph" w:customStyle="1" w:styleId="Default">
    <w:name w:val="Default"/>
    <w:semiHidden/>
    <w:rsid w:val="00E30B02"/>
    <w:pPr>
      <w:widowControl w:val="0"/>
      <w:autoSpaceDE w:val="0"/>
      <w:autoSpaceDN w:val="0"/>
      <w:adjustRightInd w:val="0"/>
    </w:pPr>
    <w:rPr>
      <w:rFonts w:ascii="宋体" w:cs="宋体"/>
      <w:color w:val="000000"/>
      <w:sz w:val="24"/>
      <w:szCs w:val="24"/>
    </w:rPr>
  </w:style>
  <w:style w:type="character" w:styleId="af">
    <w:name w:val="Emphasis"/>
    <w:uiPriority w:val="20"/>
    <w:qFormat/>
    <w:rsid w:val="00E30B02"/>
    <w:rPr>
      <w:i w:val="0"/>
      <w:iCs w:val="0"/>
      <w:color w:val="CC0000"/>
    </w:rPr>
  </w:style>
  <w:style w:type="paragraph" w:styleId="af0">
    <w:name w:val="Normal (Web)"/>
    <w:basedOn w:val="a"/>
    <w:uiPriority w:val="99"/>
    <w:rsid w:val="00E30B02"/>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E30B02"/>
    <w:pPr>
      <w:widowControl/>
      <w:spacing w:before="480" w:after="0" w:line="276" w:lineRule="auto"/>
      <w:jc w:val="left"/>
      <w:outlineLvl w:val="9"/>
    </w:pPr>
    <w:rPr>
      <w:rFonts w:ascii="Cambria" w:hAnsi="Cambria"/>
      <w:color w:val="365F91"/>
      <w:kern w:val="0"/>
      <w:sz w:val="28"/>
      <w:szCs w:val="28"/>
    </w:rPr>
  </w:style>
  <w:style w:type="paragraph" w:styleId="af1">
    <w:name w:val="List Paragraph"/>
    <w:basedOn w:val="a"/>
    <w:uiPriority w:val="34"/>
    <w:qFormat/>
    <w:rsid w:val="005347EB"/>
    <w:pPr>
      <w:ind w:firstLineChars="200" w:firstLine="420"/>
    </w:pPr>
  </w:style>
  <w:style w:type="paragraph" w:styleId="af2">
    <w:name w:val="annotation subject"/>
    <w:basedOn w:val="ab"/>
    <w:next w:val="ab"/>
    <w:link w:val="Char1"/>
    <w:rsid w:val="00041A0F"/>
    <w:rPr>
      <w:b/>
      <w:bCs/>
    </w:rPr>
  </w:style>
  <w:style w:type="character" w:customStyle="1" w:styleId="Char1">
    <w:name w:val="批注主题 Char"/>
    <w:link w:val="af2"/>
    <w:rsid w:val="00041A0F"/>
    <w:rPr>
      <w:rFonts w:eastAsia="宋体"/>
      <w:b/>
      <w:bCs/>
      <w:kern w:val="2"/>
      <w:sz w:val="21"/>
      <w:szCs w:val="24"/>
      <w:lang w:val="en-US" w:eastAsia="zh-CN" w:bidi="ar-SA"/>
    </w:rPr>
  </w:style>
  <w:style w:type="paragraph" w:styleId="af3">
    <w:name w:val="footnote text"/>
    <w:basedOn w:val="a"/>
    <w:link w:val="Char2"/>
    <w:uiPriority w:val="99"/>
    <w:unhideWhenUsed/>
    <w:rsid w:val="008E652B"/>
    <w:pPr>
      <w:snapToGrid w:val="0"/>
      <w:jc w:val="left"/>
    </w:pPr>
    <w:rPr>
      <w:rFonts w:ascii="Calibri" w:hAnsi="Calibri"/>
      <w:sz w:val="18"/>
      <w:szCs w:val="18"/>
    </w:rPr>
  </w:style>
  <w:style w:type="character" w:customStyle="1" w:styleId="Char2">
    <w:name w:val="脚注文本 Char"/>
    <w:link w:val="af3"/>
    <w:uiPriority w:val="99"/>
    <w:rsid w:val="008E652B"/>
    <w:rPr>
      <w:rFonts w:ascii="Calibri" w:hAnsi="Calibri"/>
      <w:kern w:val="2"/>
      <w:sz w:val="18"/>
      <w:szCs w:val="18"/>
    </w:rPr>
  </w:style>
  <w:style w:type="character" w:styleId="af4">
    <w:name w:val="footnote reference"/>
    <w:uiPriority w:val="99"/>
    <w:unhideWhenUsed/>
    <w:rsid w:val="008E652B"/>
    <w:rPr>
      <w:vertAlign w:val="superscript"/>
    </w:rPr>
  </w:style>
  <w:style w:type="paragraph" w:customStyle="1" w:styleId="42">
    <w:name w:val="4民生_正文"/>
    <w:basedOn w:val="a"/>
    <w:link w:val="4Char0"/>
    <w:semiHidden/>
    <w:rsid w:val="002D7F71"/>
    <w:pPr>
      <w:tabs>
        <w:tab w:val="right" w:pos="7200"/>
      </w:tabs>
      <w:spacing w:afterLines="50" w:line="360" w:lineRule="exact"/>
      <w:ind w:rightChars="1000" w:right="1000" w:firstLineChars="200" w:firstLine="200"/>
    </w:pPr>
    <w:rPr>
      <w:rFonts w:eastAsia="楷体_GB2312"/>
      <w:kern w:val="0"/>
      <w:sz w:val="20"/>
      <w:szCs w:val="20"/>
    </w:rPr>
  </w:style>
  <w:style w:type="character" w:customStyle="1" w:styleId="4Char0">
    <w:name w:val="4民生_正文 Char"/>
    <w:link w:val="42"/>
    <w:locked/>
    <w:rsid w:val="002D7F71"/>
    <w:rPr>
      <w:rFonts w:eastAsia="楷体_GB2312"/>
      <w:lang w:bidi="ar-SA"/>
    </w:rPr>
  </w:style>
  <w:style w:type="paragraph" w:customStyle="1" w:styleId="92">
    <w:name w:val="9民生_资料来源"/>
    <w:basedOn w:val="a"/>
    <w:link w:val="9Char0"/>
    <w:semiHidden/>
    <w:rsid w:val="00AF6A38"/>
    <w:pPr>
      <w:spacing w:afterLines="100" w:line="240" w:lineRule="exact"/>
      <w:ind w:rightChars="20" w:right="20"/>
      <w:jc w:val="left"/>
    </w:pPr>
    <w:rPr>
      <w:rFonts w:eastAsia="楷体_GB2312"/>
      <w:sz w:val="16"/>
      <w:szCs w:val="16"/>
    </w:rPr>
  </w:style>
  <w:style w:type="character" w:customStyle="1" w:styleId="9Char0">
    <w:name w:val="9民生_资料来源 Char"/>
    <w:link w:val="92"/>
    <w:locked/>
    <w:rsid w:val="00AF6A38"/>
    <w:rPr>
      <w:rFonts w:eastAsia="楷体_GB2312"/>
      <w:kern w:val="2"/>
      <w:sz w:val="16"/>
      <w:szCs w:val="16"/>
      <w:lang w:val="en-US" w:eastAsia="zh-CN" w:bidi="ar-SA"/>
    </w:rPr>
  </w:style>
  <w:style w:type="paragraph" w:customStyle="1" w:styleId="12">
    <w:name w:val="样式1"/>
    <w:basedOn w:val="a"/>
    <w:link w:val="1Char1"/>
    <w:semiHidden/>
    <w:qFormat/>
    <w:rsid w:val="000729B3"/>
    <w:pPr>
      <w:adjustRightInd w:val="0"/>
      <w:snapToGrid w:val="0"/>
      <w:spacing w:after="50"/>
      <w:ind w:rightChars="1300" w:right="2730"/>
    </w:pPr>
    <w:rPr>
      <w:rFonts w:ascii="Arial" w:eastAsia="楷体_GB2312" w:cs="Arial"/>
      <w:b/>
      <w:i/>
      <w:color w:val="000000"/>
    </w:rPr>
  </w:style>
  <w:style w:type="character" w:customStyle="1" w:styleId="1Char1">
    <w:name w:val="样式1 Char"/>
    <w:link w:val="12"/>
    <w:rsid w:val="000729B3"/>
    <w:rPr>
      <w:rFonts w:ascii="Arial" w:eastAsia="楷体_GB2312" w:cs="Arial"/>
      <w:b/>
      <w:i/>
      <w:color w:val="000000"/>
      <w:kern w:val="2"/>
      <w:sz w:val="21"/>
      <w:szCs w:val="24"/>
      <w:lang w:val="en-US" w:eastAsia="zh-CN" w:bidi="ar-SA"/>
    </w:rPr>
  </w:style>
  <w:style w:type="character" w:customStyle="1" w:styleId="6Char">
    <w:name w:val="6_华融图表标题 Char"/>
    <w:link w:val="60"/>
    <w:rsid w:val="00D4116E"/>
    <w:rPr>
      <w:rFonts w:ascii="Arial" w:eastAsia="楷体_GB2312" w:hAnsi="Arial" w:cs="Arial"/>
      <w:b/>
      <w:i/>
      <w:color w:val="000000"/>
      <w:kern w:val="2"/>
      <w:sz w:val="18"/>
      <w:szCs w:val="18"/>
      <w:lang w:val="en-US" w:eastAsia="zh-CN" w:bidi="ar-SA"/>
    </w:rPr>
  </w:style>
  <w:style w:type="table" w:customStyle="1" w:styleId="100">
    <w:name w:val="10 表格"/>
    <w:basedOn w:val="a1"/>
    <w:rsid w:val="00500175"/>
    <w:rPr>
      <w:rFonts w:ascii="Arial" w:eastAsia="楷体_GB2312" w:hAnsi="Arial"/>
      <w:sz w:val="18"/>
    </w:rPr>
    <w:tblPr>
      <w:tblInd w:w="113" w:type="dxa"/>
      <w:tblBorders>
        <w:bottom w:val="single" w:sz="8" w:space="0" w:color="333333"/>
        <w:insideH w:val="single" w:sz="8" w:space="0" w:color="333333"/>
      </w:tblBorders>
      <w:tblCellMar>
        <w:top w:w="0" w:type="dxa"/>
        <w:left w:w="108" w:type="dxa"/>
        <w:bottom w:w="0" w:type="dxa"/>
        <w:right w:w="108" w:type="dxa"/>
      </w:tblCellMar>
    </w:tblPr>
    <w:tblStylePr w:type="firstRow">
      <w:rPr>
        <w:rFonts w:ascii="Arial" w:hAnsi="Arial"/>
        <w:sz w:val="18"/>
      </w:rPr>
      <w:tblPr/>
      <w:tcPr>
        <w:tcBorders>
          <w:top w:val="single" w:sz="8" w:space="0" w:color="333333"/>
          <w:left w:val="nil"/>
          <w:bottom w:val="single" w:sz="8" w:space="0" w:color="333333"/>
          <w:right w:val="nil"/>
          <w:insideH w:val="nil"/>
          <w:insideV w:val="nil"/>
        </w:tcBorders>
      </w:tcPr>
    </w:tblStylePr>
  </w:style>
  <w:style w:type="paragraph" w:customStyle="1" w:styleId="Char3">
    <w:name w:val="Char"/>
    <w:basedOn w:val="a"/>
    <w:autoRedefine/>
    <w:semiHidden/>
    <w:rsid w:val="00BC3452"/>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semiHidden/>
    <w:rsid w:val="00BC3452"/>
    <w:pPr>
      <w:ind w:firstLineChars="200" w:firstLine="420"/>
    </w:pPr>
    <w:rPr>
      <w:rFonts w:ascii="Arial" w:eastAsia="仿宋" w:hAnsi="Arial"/>
      <w:szCs w:val="22"/>
    </w:rPr>
  </w:style>
  <w:style w:type="paragraph" w:styleId="af5">
    <w:name w:val="Document Map"/>
    <w:basedOn w:val="a"/>
    <w:rsid w:val="00BC3452"/>
    <w:rPr>
      <w:rFonts w:ascii="宋体"/>
      <w:sz w:val="18"/>
      <w:szCs w:val="18"/>
    </w:rPr>
  </w:style>
  <w:style w:type="character" w:customStyle="1" w:styleId="CharChar7">
    <w:name w:val="Char Char7"/>
    <w:semiHidden/>
    <w:rsid w:val="00BC3452"/>
    <w:rPr>
      <w:b/>
      <w:bCs/>
      <w:kern w:val="44"/>
      <w:sz w:val="44"/>
      <w:szCs w:val="44"/>
    </w:rPr>
  </w:style>
  <w:style w:type="character" w:customStyle="1" w:styleId="wpkeywordlinkaffiliate">
    <w:name w:val="wp_keywordlink_affiliate"/>
    <w:basedOn w:val="a0"/>
    <w:semiHidden/>
    <w:rsid w:val="00BC3452"/>
  </w:style>
  <w:style w:type="paragraph" w:styleId="z-">
    <w:name w:val="HTML Top of Form"/>
    <w:basedOn w:val="a"/>
    <w:next w:val="a"/>
    <w:hidden/>
    <w:unhideWhenUsed/>
    <w:rsid w:val="00BC3452"/>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unhideWhenUsed/>
    <w:rsid w:val="00BC3452"/>
    <w:pPr>
      <w:widowControl/>
      <w:pBdr>
        <w:top w:val="single" w:sz="6" w:space="1" w:color="auto"/>
      </w:pBdr>
      <w:jc w:val="center"/>
    </w:pPr>
    <w:rPr>
      <w:rFonts w:ascii="Arial" w:hAnsi="Arial" w:cs="Arial"/>
      <w:vanish/>
      <w:kern w:val="0"/>
      <w:sz w:val="16"/>
      <w:szCs w:val="16"/>
    </w:rPr>
  </w:style>
  <w:style w:type="paragraph" w:customStyle="1" w:styleId="0001">
    <w:name w:val="00 01"/>
    <w:basedOn w:val="a"/>
    <w:link w:val="0001Char"/>
    <w:semiHidden/>
    <w:rsid w:val="0045708F"/>
    <w:pPr>
      <w:tabs>
        <w:tab w:val="left" w:pos="315"/>
      </w:tabs>
      <w:spacing w:beforeLines="50" w:afterLines="10"/>
      <w:ind w:rightChars="1900" w:right="3990"/>
    </w:pPr>
    <w:rPr>
      <w:rFonts w:ascii="Arial" w:eastAsia="楷体_GB2312" w:hAnsi="Arial" w:cs="Arial"/>
      <w:b/>
      <w:color w:val="981B20"/>
      <w:szCs w:val="21"/>
    </w:rPr>
  </w:style>
  <w:style w:type="character" w:customStyle="1" w:styleId="0001Char">
    <w:name w:val="00 01 Char"/>
    <w:link w:val="0001"/>
    <w:rsid w:val="0045708F"/>
    <w:rPr>
      <w:rFonts w:ascii="Arial" w:eastAsia="楷体_GB2312" w:hAnsi="Arial" w:cs="Arial"/>
      <w:b/>
      <w:color w:val="981B20"/>
      <w:kern w:val="2"/>
      <w:sz w:val="21"/>
      <w:szCs w:val="21"/>
      <w:lang w:val="en-US" w:eastAsia="zh-CN" w:bidi="ar-SA"/>
    </w:rPr>
  </w:style>
  <w:style w:type="paragraph" w:customStyle="1" w:styleId="0002">
    <w:name w:val="00 02"/>
    <w:semiHidden/>
    <w:rsid w:val="004825C8"/>
    <w:pPr>
      <w:tabs>
        <w:tab w:val="left" w:pos="420"/>
      </w:tabs>
      <w:spacing w:afterLines="30" w:line="260" w:lineRule="exact"/>
      <w:ind w:leftChars="150" w:left="150" w:rightChars="1900" w:right="1900"/>
      <w:jc w:val="both"/>
    </w:pPr>
    <w:rPr>
      <w:rFonts w:ascii="Arial" w:eastAsia="楷体_GB2312" w:hAnsi="Arial" w:cs="Arial"/>
      <w:spacing w:val="2"/>
      <w:kern w:val="2"/>
      <w:szCs w:val="21"/>
    </w:rPr>
  </w:style>
  <w:style w:type="character" w:customStyle="1" w:styleId="7Char">
    <w:name w:val="7_华融表格表头 Char"/>
    <w:link w:val="70"/>
    <w:rsid w:val="00726203"/>
    <w:rPr>
      <w:rFonts w:ascii="Arial" w:eastAsia="楷体_GB2312" w:hAnsi="Arial" w:cs="Arial"/>
      <w:b/>
      <w:kern w:val="2"/>
      <w:sz w:val="18"/>
      <w:szCs w:val="24"/>
      <w:lang w:val="en-US" w:eastAsia="zh-CN" w:bidi="ar-SA"/>
    </w:rPr>
  </w:style>
  <w:style w:type="character" w:customStyle="1" w:styleId="9Char">
    <w:name w:val="9_华融资料来源 Char"/>
    <w:link w:val="90"/>
    <w:rsid w:val="009B43C0"/>
    <w:rPr>
      <w:rFonts w:ascii="Arial" w:eastAsia="楷体_GB2312" w:hAnsi="Arial" w:cs="Arial"/>
      <w:color w:val="000000"/>
      <w:kern w:val="2"/>
      <w:sz w:val="16"/>
      <w:szCs w:val="24"/>
      <w:lang w:val="en-US" w:eastAsia="zh-CN" w:bidi="ar-SA"/>
    </w:rPr>
  </w:style>
  <w:style w:type="paragraph" w:customStyle="1" w:styleId="00a">
    <w:name w:val="00a华融_封面标题"/>
    <w:basedOn w:val="0001"/>
    <w:link w:val="00aChar"/>
    <w:rsid w:val="00C7123C"/>
    <w:pPr>
      <w:spacing w:afterLines="0"/>
    </w:pPr>
    <w:rPr>
      <w:position w:val="-2"/>
      <w:sz w:val="22"/>
      <w:szCs w:val="22"/>
    </w:rPr>
  </w:style>
  <w:style w:type="character" w:customStyle="1" w:styleId="00aChar">
    <w:name w:val="00a华融_封面标题 Char"/>
    <w:link w:val="00a"/>
    <w:rsid w:val="00C7123C"/>
    <w:rPr>
      <w:rFonts w:ascii="Arial" w:eastAsia="楷体_GB2312" w:hAnsi="Arial" w:cs="Arial"/>
      <w:b/>
      <w:color w:val="981B20"/>
      <w:kern w:val="2"/>
      <w:position w:val="-2"/>
      <w:sz w:val="22"/>
      <w:szCs w:val="22"/>
      <w:lang w:val="en-US" w:eastAsia="zh-CN" w:bidi="ar-SA"/>
    </w:rPr>
  </w:style>
  <w:style w:type="paragraph" w:customStyle="1" w:styleId="01">
    <w:name w:val="01封面摘要正文"/>
    <w:basedOn w:val="a"/>
    <w:link w:val="01Char"/>
    <w:rsid w:val="00C7123C"/>
    <w:pPr>
      <w:tabs>
        <w:tab w:val="left" w:pos="420"/>
      </w:tabs>
      <w:ind w:leftChars="150" w:left="315" w:rightChars="1900" w:right="3990"/>
    </w:pPr>
    <w:rPr>
      <w:rFonts w:ascii="Arial" w:eastAsia="楷体_GB2312" w:hAnsi="Arial" w:cs="Arial"/>
      <w:sz w:val="22"/>
      <w:szCs w:val="22"/>
    </w:rPr>
  </w:style>
  <w:style w:type="character" w:customStyle="1" w:styleId="01Char">
    <w:name w:val="01封面摘要正文 Char"/>
    <w:link w:val="01"/>
    <w:rsid w:val="00C7123C"/>
    <w:rPr>
      <w:rFonts w:ascii="Arial" w:eastAsia="楷体_GB2312" w:hAnsi="Arial" w:cs="Arial"/>
      <w:kern w:val="2"/>
      <w:sz w:val="22"/>
      <w:szCs w:val="22"/>
      <w:lang w:val="en-US" w:eastAsia="zh-CN" w:bidi="ar-SA"/>
    </w:rPr>
  </w:style>
  <w:style w:type="character" w:customStyle="1" w:styleId="1Char0">
    <w:name w:val="1_[一]、华融_标题一 Char"/>
    <w:link w:val="11"/>
    <w:rsid w:val="005E17B2"/>
    <w:rPr>
      <w:rFonts w:ascii="Arial" w:eastAsia="楷体_GB2312" w:hAnsi="Arial" w:cs="Arial"/>
      <w:b/>
      <w:color w:val="981B20"/>
      <w:kern w:val="2"/>
      <w:sz w:val="28"/>
      <w:szCs w:val="28"/>
      <w:lang w:val="en-US" w:eastAsia="zh-CN" w:bidi="ar-SA"/>
    </w:rPr>
  </w:style>
  <w:style w:type="character" w:customStyle="1" w:styleId="2Char0">
    <w:name w:val="2_(一)华融_标题二 Char"/>
    <w:link w:val="21"/>
    <w:rsid w:val="005E17B2"/>
    <w:rPr>
      <w:rFonts w:ascii="Arial" w:eastAsia="楷体_GB2312" w:hAnsi="Arial" w:cs="Arial"/>
      <w:b/>
      <w:kern w:val="2"/>
      <w:sz w:val="25"/>
      <w:szCs w:val="28"/>
      <w:lang w:val="en-US" w:eastAsia="zh-CN" w:bidi="ar-SA"/>
    </w:rPr>
  </w:style>
  <w:style w:type="character" w:customStyle="1" w:styleId="31Char">
    <w:name w:val="3_[1]、华融_标题三 Char"/>
    <w:link w:val="31"/>
    <w:rsid w:val="00D4116E"/>
    <w:rPr>
      <w:rFonts w:ascii="Arial" w:eastAsia="楷体_GB2312" w:hAnsi="Arial"/>
      <w:color w:val="000000"/>
      <w:kern w:val="2"/>
      <w:sz w:val="22"/>
      <w:szCs w:val="22"/>
      <w:lang w:val="en-US" w:eastAsia="zh-CN" w:bidi="ar-SA"/>
    </w:rPr>
  </w:style>
  <w:style w:type="character" w:customStyle="1" w:styleId="4Char">
    <w:name w:val="4_华融_标题四 Char"/>
    <w:link w:val="40"/>
    <w:rsid w:val="00D4116E"/>
    <w:rPr>
      <w:rFonts w:ascii="Arial" w:eastAsia="楷体_GB2312" w:hAnsi="Arial"/>
      <w:color w:val="000000"/>
      <w:kern w:val="2"/>
      <w:sz w:val="22"/>
      <w:szCs w:val="22"/>
      <w:lang w:val="en-US" w:eastAsia="zh-CN" w:bidi="ar-SA"/>
    </w:rPr>
  </w:style>
  <w:style w:type="character" w:customStyle="1" w:styleId="8Char">
    <w:name w:val="8_华融表格表字 Char"/>
    <w:link w:val="80"/>
    <w:rsid w:val="00726203"/>
    <w:rPr>
      <w:rFonts w:ascii="Arial" w:eastAsia="楷体_GB2312" w:hAnsi="Arial" w:cs="Arial"/>
      <w:kern w:val="2"/>
      <w:sz w:val="18"/>
      <w:szCs w:val="24"/>
      <w:lang w:val="en-US" w:eastAsia="zh-CN" w:bidi="ar-SA"/>
    </w:rPr>
  </w:style>
  <w:style w:type="paragraph" w:styleId="af6">
    <w:name w:val="No Spacing"/>
    <w:qFormat/>
    <w:rsid w:val="009B43C0"/>
    <w:pPr>
      <w:widowControl w:val="0"/>
      <w:jc w:val="both"/>
    </w:pPr>
    <w:rPr>
      <w:rFonts w:ascii="Calibri" w:hAnsi="Calibri"/>
      <w:kern w:val="2"/>
      <w:sz w:val="21"/>
      <w:szCs w:val="22"/>
    </w:rPr>
  </w:style>
  <w:style w:type="paragraph" w:customStyle="1" w:styleId="111">
    <w:name w:val="111"/>
    <w:basedOn w:val="70"/>
    <w:semiHidden/>
    <w:rsid w:val="004C6F01"/>
    <w:pPr>
      <w:pBdr>
        <w:bottom w:val="single" w:sz="4" w:space="1" w:color="333333"/>
      </w:pBdr>
      <w:jc w:val="center"/>
    </w:pPr>
  </w:style>
  <w:style w:type="character" w:customStyle="1" w:styleId="af7">
    <w:name w:val="访问过的超链接"/>
    <w:rsid w:val="007F37AF"/>
    <w:rPr>
      <w:color w:val="800080"/>
      <w:u w:val="single"/>
    </w:rPr>
  </w:style>
  <w:style w:type="table" w:styleId="43">
    <w:name w:val="Table List 4"/>
    <w:basedOn w:val="a1"/>
    <w:rsid w:val="00187DC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22">
    <w:name w:val="正文2"/>
    <w:basedOn w:val="a"/>
    <w:rsid w:val="007832BA"/>
    <w:pPr>
      <w:ind w:leftChars="1200" w:left="1200"/>
    </w:pPr>
    <w:rPr>
      <w:rFonts w:ascii="Arial" w:eastAsia="楷体_GB2312" w:hAnsi="Arial"/>
      <w:color w:val="000000"/>
    </w:rPr>
  </w:style>
  <w:style w:type="character" w:customStyle="1" w:styleId="ttag">
    <w:name w:val="t_tag"/>
    <w:basedOn w:val="a0"/>
    <w:semiHidden/>
    <w:rsid w:val="007832BA"/>
  </w:style>
  <w:style w:type="character" w:styleId="af8">
    <w:name w:val="Strong"/>
    <w:qFormat/>
    <w:rsid w:val="007832BA"/>
    <w:rPr>
      <w:b/>
      <w:bCs/>
    </w:rPr>
  </w:style>
  <w:style w:type="table" w:styleId="14">
    <w:name w:val="Table Classic 1"/>
    <w:basedOn w:val="a1"/>
    <w:rsid w:val="00985878"/>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31412799">
      <w:bodyDiv w:val="1"/>
      <w:marLeft w:val="0"/>
      <w:marRight w:val="0"/>
      <w:marTop w:val="0"/>
      <w:marBottom w:val="0"/>
      <w:divBdr>
        <w:top w:val="none" w:sz="0" w:space="0" w:color="auto"/>
        <w:left w:val="none" w:sz="0" w:space="0" w:color="auto"/>
        <w:bottom w:val="none" w:sz="0" w:space="0" w:color="auto"/>
        <w:right w:val="none" w:sz="0" w:space="0" w:color="auto"/>
      </w:divBdr>
      <w:divsChild>
        <w:div w:id="1190728599">
          <w:marLeft w:val="0"/>
          <w:marRight w:val="0"/>
          <w:marTop w:val="0"/>
          <w:marBottom w:val="0"/>
          <w:divBdr>
            <w:top w:val="none" w:sz="0" w:space="0" w:color="auto"/>
            <w:left w:val="none" w:sz="0" w:space="0" w:color="auto"/>
            <w:bottom w:val="none" w:sz="0" w:space="0" w:color="auto"/>
            <w:right w:val="none" w:sz="0" w:space="0" w:color="auto"/>
          </w:divBdr>
          <w:divsChild>
            <w:div w:id="1557203440">
              <w:marLeft w:val="0"/>
              <w:marRight w:val="0"/>
              <w:marTop w:val="0"/>
              <w:marBottom w:val="0"/>
              <w:divBdr>
                <w:top w:val="none" w:sz="0" w:space="0" w:color="auto"/>
                <w:left w:val="none" w:sz="0" w:space="0" w:color="auto"/>
                <w:bottom w:val="none" w:sz="0" w:space="0" w:color="auto"/>
                <w:right w:val="none" w:sz="0" w:space="0" w:color="auto"/>
              </w:divBdr>
              <w:divsChild>
                <w:div w:id="1074200808">
                  <w:marLeft w:val="0"/>
                  <w:marRight w:val="0"/>
                  <w:marTop w:val="0"/>
                  <w:marBottom w:val="0"/>
                  <w:divBdr>
                    <w:top w:val="single" w:sz="12" w:space="0" w:color="08237A"/>
                    <w:left w:val="none" w:sz="0" w:space="0" w:color="auto"/>
                    <w:bottom w:val="none" w:sz="0" w:space="0" w:color="auto"/>
                    <w:right w:val="none" w:sz="0" w:space="0" w:color="auto"/>
                  </w:divBdr>
                  <w:divsChild>
                    <w:div w:id="547451517">
                      <w:marLeft w:val="0"/>
                      <w:marRight w:val="0"/>
                      <w:marTop w:val="0"/>
                      <w:marBottom w:val="0"/>
                      <w:divBdr>
                        <w:top w:val="single" w:sz="2" w:space="6" w:color="BBBBBB"/>
                        <w:left w:val="single" w:sz="4" w:space="0" w:color="BBBBBB"/>
                        <w:bottom w:val="single" w:sz="4" w:space="0" w:color="BBBBBB"/>
                        <w:right w:val="single" w:sz="4" w:space="0" w:color="BBBBBB"/>
                      </w:divBdr>
                      <w:divsChild>
                        <w:div w:id="659119909">
                          <w:marLeft w:val="0"/>
                          <w:marRight w:val="0"/>
                          <w:marTop w:val="0"/>
                          <w:marBottom w:val="0"/>
                          <w:divBdr>
                            <w:top w:val="none" w:sz="0" w:space="0" w:color="auto"/>
                            <w:left w:val="none" w:sz="0" w:space="0" w:color="auto"/>
                            <w:bottom w:val="none" w:sz="0" w:space="0" w:color="auto"/>
                            <w:right w:val="none" w:sz="0" w:space="0" w:color="auto"/>
                          </w:divBdr>
                          <w:divsChild>
                            <w:div w:id="14868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0434">
      <w:bodyDiv w:val="1"/>
      <w:marLeft w:val="0"/>
      <w:marRight w:val="0"/>
      <w:marTop w:val="0"/>
      <w:marBottom w:val="0"/>
      <w:divBdr>
        <w:top w:val="none" w:sz="0" w:space="0" w:color="auto"/>
        <w:left w:val="none" w:sz="0" w:space="0" w:color="auto"/>
        <w:bottom w:val="none" w:sz="0" w:space="0" w:color="auto"/>
        <w:right w:val="none" w:sz="0" w:space="0" w:color="auto"/>
      </w:divBdr>
    </w:div>
    <w:div w:id="261374462">
      <w:bodyDiv w:val="1"/>
      <w:marLeft w:val="0"/>
      <w:marRight w:val="0"/>
      <w:marTop w:val="0"/>
      <w:marBottom w:val="0"/>
      <w:divBdr>
        <w:top w:val="none" w:sz="0" w:space="0" w:color="auto"/>
        <w:left w:val="none" w:sz="0" w:space="0" w:color="auto"/>
        <w:bottom w:val="none" w:sz="0" w:space="0" w:color="auto"/>
        <w:right w:val="none" w:sz="0" w:space="0" w:color="auto"/>
      </w:divBdr>
    </w:div>
    <w:div w:id="291130266">
      <w:bodyDiv w:val="1"/>
      <w:marLeft w:val="0"/>
      <w:marRight w:val="0"/>
      <w:marTop w:val="0"/>
      <w:marBottom w:val="0"/>
      <w:divBdr>
        <w:top w:val="none" w:sz="0" w:space="0" w:color="auto"/>
        <w:left w:val="none" w:sz="0" w:space="0" w:color="auto"/>
        <w:bottom w:val="none" w:sz="0" w:space="0" w:color="auto"/>
        <w:right w:val="none" w:sz="0" w:space="0" w:color="auto"/>
      </w:divBdr>
    </w:div>
    <w:div w:id="33176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5453">
          <w:marLeft w:val="0"/>
          <w:marRight w:val="0"/>
          <w:marTop w:val="0"/>
          <w:marBottom w:val="0"/>
          <w:divBdr>
            <w:top w:val="none" w:sz="0" w:space="0" w:color="auto"/>
            <w:left w:val="none" w:sz="0" w:space="0" w:color="auto"/>
            <w:bottom w:val="none" w:sz="0" w:space="0" w:color="auto"/>
            <w:right w:val="none" w:sz="0" w:space="0" w:color="auto"/>
          </w:divBdr>
          <w:divsChild>
            <w:div w:id="799231505">
              <w:marLeft w:val="0"/>
              <w:marRight w:val="0"/>
              <w:marTop w:val="0"/>
              <w:marBottom w:val="0"/>
              <w:divBdr>
                <w:top w:val="none" w:sz="0" w:space="0" w:color="auto"/>
                <w:left w:val="none" w:sz="0" w:space="0" w:color="auto"/>
                <w:bottom w:val="none" w:sz="0" w:space="0" w:color="auto"/>
                <w:right w:val="none" w:sz="0" w:space="0" w:color="auto"/>
              </w:divBdr>
              <w:divsChild>
                <w:div w:id="813327388">
                  <w:marLeft w:val="0"/>
                  <w:marRight w:val="0"/>
                  <w:marTop w:val="0"/>
                  <w:marBottom w:val="0"/>
                  <w:divBdr>
                    <w:top w:val="single" w:sz="12" w:space="0" w:color="08237A"/>
                    <w:left w:val="none" w:sz="0" w:space="0" w:color="auto"/>
                    <w:bottom w:val="none" w:sz="0" w:space="0" w:color="auto"/>
                    <w:right w:val="none" w:sz="0" w:space="0" w:color="auto"/>
                  </w:divBdr>
                  <w:divsChild>
                    <w:div w:id="474956839">
                      <w:marLeft w:val="0"/>
                      <w:marRight w:val="0"/>
                      <w:marTop w:val="0"/>
                      <w:marBottom w:val="0"/>
                      <w:divBdr>
                        <w:top w:val="single" w:sz="2" w:space="6" w:color="BBBBBB"/>
                        <w:left w:val="single" w:sz="4" w:space="0" w:color="BBBBBB"/>
                        <w:bottom w:val="single" w:sz="4" w:space="0" w:color="BBBBBB"/>
                        <w:right w:val="single" w:sz="4" w:space="0" w:color="BBBBBB"/>
                      </w:divBdr>
                      <w:divsChild>
                        <w:div w:id="1440298792">
                          <w:marLeft w:val="0"/>
                          <w:marRight w:val="0"/>
                          <w:marTop w:val="0"/>
                          <w:marBottom w:val="0"/>
                          <w:divBdr>
                            <w:top w:val="none" w:sz="0" w:space="0" w:color="auto"/>
                            <w:left w:val="none" w:sz="0" w:space="0" w:color="auto"/>
                            <w:bottom w:val="none" w:sz="0" w:space="0" w:color="auto"/>
                            <w:right w:val="none" w:sz="0" w:space="0" w:color="auto"/>
                          </w:divBdr>
                          <w:divsChild>
                            <w:div w:id="1337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79795">
      <w:bodyDiv w:val="1"/>
      <w:marLeft w:val="0"/>
      <w:marRight w:val="0"/>
      <w:marTop w:val="0"/>
      <w:marBottom w:val="0"/>
      <w:divBdr>
        <w:top w:val="none" w:sz="0" w:space="0" w:color="auto"/>
        <w:left w:val="none" w:sz="0" w:space="0" w:color="auto"/>
        <w:bottom w:val="none" w:sz="0" w:space="0" w:color="auto"/>
        <w:right w:val="none" w:sz="0" w:space="0" w:color="auto"/>
      </w:divBdr>
    </w:div>
    <w:div w:id="704212260">
      <w:bodyDiv w:val="1"/>
      <w:marLeft w:val="0"/>
      <w:marRight w:val="0"/>
      <w:marTop w:val="0"/>
      <w:marBottom w:val="0"/>
      <w:divBdr>
        <w:top w:val="none" w:sz="0" w:space="0" w:color="auto"/>
        <w:left w:val="none" w:sz="0" w:space="0" w:color="auto"/>
        <w:bottom w:val="none" w:sz="0" w:space="0" w:color="auto"/>
        <w:right w:val="none" w:sz="0" w:space="0" w:color="auto"/>
      </w:divBdr>
    </w:div>
    <w:div w:id="712972098">
      <w:bodyDiv w:val="1"/>
      <w:marLeft w:val="0"/>
      <w:marRight w:val="0"/>
      <w:marTop w:val="0"/>
      <w:marBottom w:val="0"/>
      <w:divBdr>
        <w:top w:val="none" w:sz="0" w:space="0" w:color="auto"/>
        <w:left w:val="none" w:sz="0" w:space="0" w:color="auto"/>
        <w:bottom w:val="none" w:sz="0" w:space="0" w:color="auto"/>
        <w:right w:val="none" w:sz="0" w:space="0" w:color="auto"/>
      </w:divBdr>
    </w:div>
    <w:div w:id="760182590">
      <w:bodyDiv w:val="1"/>
      <w:marLeft w:val="0"/>
      <w:marRight w:val="0"/>
      <w:marTop w:val="0"/>
      <w:marBottom w:val="0"/>
      <w:divBdr>
        <w:top w:val="none" w:sz="0" w:space="0" w:color="auto"/>
        <w:left w:val="none" w:sz="0" w:space="0" w:color="auto"/>
        <w:bottom w:val="none" w:sz="0" w:space="0" w:color="auto"/>
        <w:right w:val="none" w:sz="0" w:space="0" w:color="auto"/>
      </w:divBdr>
      <w:divsChild>
        <w:div w:id="944267218">
          <w:marLeft w:val="0"/>
          <w:marRight w:val="0"/>
          <w:marTop w:val="0"/>
          <w:marBottom w:val="0"/>
          <w:divBdr>
            <w:top w:val="none" w:sz="0" w:space="0" w:color="auto"/>
            <w:left w:val="none" w:sz="0" w:space="0" w:color="auto"/>
            <w:bottom w:val="none" w:sz="0" w:space="0" w:color="auto"/>
            <w:right w:val="none" w:sz="0" w:space="0" w:color="auto"/>
          </w:divBdr>
          <w:divsChild>
            <w:div w:id="2002081930">
              <w:marLeft w:val="0"/>
              <w:marRight w:val="0"/>
              <w:marTop w:val="0"/>
              <w:marBottom w:val="0"/>
              <w:divBdr>
                <w:top w:val="none" w:sz="0" w:space="0" w:color="auto"/>
                <w:left w:val="none" w:sz="0" w:space="0" w:color="auto"/>
                <w:bottom w:val="none" w:sz="0" w:space="0" w:color="auto"/>
                <w:right w:val="none" w:sz="0" w:space="0" w:color="auto"/>
              </w:divBdr>
              <w:divsChild>
                <w:div w:id="1995335920">
                  <w:marLeft w:val="0"/>
                  <w:marRight w:val="0"/>
                  <w:marTop w:val="0"/>
                  <w:marBottom w:val="0"/>
                  <w:divBdr>
                    <w:top w:val="single" w:sz="12" w:space="0" w:color="08237A"/>
                    <w:left w:val="none" w:sz="0" w:space="0" w:color="auto"/>
                    <w:bottom w:val="none" w:sz="0" w:space="0" w:color="auto"/>
                    <w:right w:val="none" w:sz="0" w:space="0" w:color="auto"/>
                  </w:divBdr>
                  <w:divsChild>
                    <w:div w:id="782261641">
                      <w:marLeft w:val="0"/>
                      <w:marRight w:val="0"/>
                      <w:marTop w:val="0"/>
                      <w:marBottom w:val="0"/>
                      <w:divBdr>
                        <w:top w:val="single" w:sz="2" w:space="6" w:color="BBBBBB"/>
                        <w:left w:val="single" w:sz="4" w:space="0" w:color="BBBBBB"/>
                        <w:bottom w:val="single" w:sz="4" w:space="0" w:color="BBBBBB"/>
                        <w:right w:val="single" w:sz="4" w:space="0" w:color="BBBBBB"/>
                      </w:divBdr>
                      <w:divsChild>
                        <w:div w:id="851727821">
                          <w:marLeft w:val="0"/>
                          <w:marRight w:val="0"/>
                          <w:marTop w:val="0"/>
                          <w:marBottom w:val="0"/>
                          <w:divBdr>
                            <w:top w:val="none" w:sz="0" w:space="0" w:color="auto"/>
                            <w:left w:val="none" w:sz="0" w:space="0" w:color="auto"/>
                            <w:bottom w:val="none" w:sz="0" w:space="0" w:color="auto"/>
                            <w:right w:val="none" w:sz="0" w:space="0" w:color="auto"/>
                          </w:divBdr>
                          <w:divsChild>
                            <w:div w:id="528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0643">
      <w:bodyDiv w:val="1"/>
      <w:marLeft w:val="0"/>
      <w:marRight w:val="0"/>
      <w:marTop w:val="0"/>
      <w:marBottom w:val="0"/>
      <w:divBdr>
        <w:top w:val="none" w:sz="0" w:space="0" w:color="auto"/>
        <w:left w:val="none" w:sz="0" w:space="0" w:color="auto"/>
        <w:bottom w:val="none" w:sz="0" w:space="0" w:color="auto"/>
        <w:right w:val="none" w:sz="0" w:space="0" w:color="auto"/>
      </w:divBdr>
    </w:div>
    <w:div w:id="878590919">
      <w:bodyDiv w:val="1"/>
      <w:marLeft w:val="0"/>
      <w:marRight w:val="0"/>
      <w:marTop w:val="0"/>
      <w:marBottom w:val="0"/>
      <w:divBdr>
        <w:top w:val="none" w:sz="0" w:space="0" w:color="auto"/>
        <w:left w:val="none" w:sz="0" w:space="0" w:color="auto"/>
        <w:bottom w:val="none" w:sz="0" w:space="0" w:color="auto"/>
        <w:right w:val="none" w:sz="0" w:space="0" w:color="auto"/>
      </w:divBdr>
    </w:div>
    <w:div w:id="899095717">
      <w:bodyDiv w:val="1"/>
      <w:marLeft w:val="0"/>
      <w:marRight w:val="0"/>
      <w:marTop w:val="0"/>
      <w:marBottom w:val="0"/>
      <w:divBdr>
        <w:top w:val="none" w:sz="0" w:space="0" w:color="auto"/>
        <w:left w:val="none" w:sz="0" w:space="0" w:color="auto"/>
        <w:bottom w:val="none" w:sz="0" w:space="0" w:color="auto"/>
        <w:right w:val="none" w:sz="0" w:space="0" w:color="auto"/>
      </w:divBdr>
    </w:div>
    <w:div w:id="968628428">
      <w:bodyDiv w:val="1"/>
      <w:marLeft w:val="0"/>
      <w:marRight w:val="0"/>
      <w:marTop w:val="0"/>
      <w:marBottom w:val="0"/>
      <w:divBdr>
        <w:top w:val="none" w:sz="0" w:space="0" w:color="auto"/>
        <w:left w:val="none" w:sz="0" w:space="0" w:color="auto"/>
        <w:bottom w:val="none" w:sz="0" w:space="0" w:color="auto"/>
        <w:right w:val="none" w:sz="0" w:space="0" w:color="auto"/>
      </w:divBdr>
      <w:divsChild>
        <w:div w:id="1711371240">
          <w:marLeft w:val="0"/>
          <w:marRight w:val="0"/>
          <w:marTop w:val="58"/>
          <w:marBottom w:val="58"/>
          <w:divBdr>
            <w:top w:val="none" w:sz="0" w:space="0" w:color="auto"/>
            <w:left w:val="none" w:sz="0" w:space="0" w:color="auto"/>
            <w:bottom w:val="none" w:sz="0" w:space="0" w:color="auto"/>
            <w:right w:val="none" w:sz="0" w:space="0" w:color="auto"/>
          </w:divBdr>
          <w:divsChild>
            <w:div w:id="1435133064">
              <w:marLeft w:val="0"/>
              <w:marRight w:val="0"/>
              <w:marTop w:val="0"/>
              <w:marBottom w:val="0"/>
              <w:divBdr>
                <w:top w:val="single" w:sz="4" w:space="0" w:color="BEBEBE"/>
                <w:left w:val="single" w:sz="4" w:space="0" w:color="BEBEBE"/>
                <w:bottom w:val="single" w:sz="4" w:space="0" w:color="BEBEBE"/>
                <w:right w:val="single" w:sz="4" w:space="0" w:color="BEBEBE"/>
              </w:divBdr>
              <w:divsChild>
                <w:div w:id="918246698">
                  <w:marLeft w:val="0"/>
                  <w:marRight w:val="0"/>
                  <w:marTop w:val="0"/>
                  <w:marBottom w:val="0"/>
                  <w:divBdr>
                    <w:top w:val="none" w:sz="0" w:space="0" w:color="auto"/>
                    <w:left w:val="none" w:sz="0" w:space="0" w:color="auto"/>
                    <w:bottom w:val="none" w:sz="0" w:space="0" w:color="auto"/>
                    <w:right w:val="none" w:sz="0" w:space="0" w:color="auto"/>
                  </w:divBdr>
                  <w:divsChild>
                    <w:div w:id="1070617390">
                      <w:marLeft w:val="0"/>
                      <w:marRight w:val="0"/>
                      <w:marTop w:val="0"/>
                      <w:marBottom w:val="0"/>
                      <w:divBdr>
                        <w:top w:val="none" w:sz="0" w:space="0" w:color="auto"/>
                        <w:left w:val="none" w:sz="0" w:space="0" w:color="auto"/>
                        <w:bottom w:val="none" w:sz="0" w:space="0" w:color="auto"/>
                        <w:right w:val="none" w:sz="0" w:space="0" w:color="auto"/>
                      </w:divBdr>
                      <w:divsChild>
                        <w:div w:id="579799673">
                          <w:marLeft w:val="0"/>
                          <w:marRight w:val="0"/>
                          <w:marTop w:val="0"/>
                          <w:marBottom w:val="0"/>
                          <w:divBdr>
                            <w:top w:val="none" w:sz="0" w:space="0" w:color="auto"/>
                            <w:left w:val="none" w:sz="0" w:space="0" w:color="auto"/>
                            <w:bottom w:val="single" w:sz="12" w:space="0" w:color="CCCCCC"/>
                            <w:right w:val="none" w:sz="0" w:space="0" w:color="auto"/>
                          </w:divBdr>
                          <w:divsChild>
                            <w:div w:id="9958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754626">
      <w:bodyDiv w:val="1"/>
      <w:marLeft w:val="0"/>
      <w:marRight w:val="0"/>
      <w:marTop w:val="0"/>
      <w:marBottom w:val="0"/>
      <w:divBdr>
        <w:top w:val="none" w:sz="0" w:space="0" w:color="auto"/>
        <w:left w:val="none" w:sz="0" w:space="0" w:color="auto"/>
        <w:bottom w:val="none" w:sz="0" w:space="0" w:color="auto"/>
        <w:right w:val="none" w:sz="0" w:space="0" w:color="auto"/>
      </w:divBdr>
    </w:div>
    <w:div w:id="1086459211">
      <w:bodyDiv w:val="1"/>
      <w:marLeft w:val="0"/>
      <w:marRight w:val="0"/>
      <w:marTop w:val="0"/>
      <w:marBottom w:val="0"/>
      <w:divBdr>
        <w:top w:val="none" w:sz="0" w:space="0" w:color="auto"/>
        <w:left w:val="none" w:sz="0" w:space="0" w:color="auto"/>
        <w:bottom w:val="none" w:sz="0" w:space="0" w:color="auto"/>
        <w:right w:val="none" w:sz="0" w:space="0" w:color="auto"/>
      </w:divBdr>
      <w:divsChild>
        <w:div w:id="120806536">
          <w:marLeft w:val="720"/>
          <w:marRight w:val="0"/>
          <w:marTop w:val="0"/>
          <w:marBottom w:val="0"/>
          <w:divBdr>
            <w:top w:val="none" w:sz="0" w:space="0" w:color="auto"/>
            <w:left w:val="none" w:sz="0" w:space="0" w:color="auto"/>
            <w:bottom w:val="none" w:sz="0" w:space="0" w:color="auto"/>
            <w:right w:val="none" w:sz="0" w:space="0" w:color="auto"/>
          </w:divBdr>
        </w:div>
        <w:div w:id="911547115">
          <w:marLeft w:val="720"/>
          <w:marRight w:val="0"/>
          <w:marTop w:val="0"/>
          <w:marBottom w:val="0"/>
          <w:divBdr>
            <w:top w:val="none" w:sz="0" w:space="0" w:color="auto"/>
            <w:left w:val="none" w:sz="0" w:space="0" w:color="auto"/>
            <w:bottom w:val="none" w:sz="0" w:space="0" w:color="auto"/>
            <w:right w:val="none" w:sz="0" w:space="0" w:color="auto"/>
          </w:divBdr>
        </w:div>
        <w:div w:id="1588423772">
          <w:marLeft w:val="720"/>
          <w:marRight w:val="0"/>
          <w:marTop w:val="0"/>
          <w:marBottom w:val="0"/>
          <w:divBdr>
            <w:top w:val="none" w:sz="0" w:space="0" w:color="auto"/>
            <w:left w:val="none" w:sz="0" w:space="0" w:color="auto"/>
            <w:bottom w:val="none" w:sz="0" w:space="0" w:color="auto"/>
            <w:right w:val="none" w:sz="0" w:space="0" w:color="auto"/>
          </w:divBdr>
        </w:div>
      </w:divsChild>
    </w:div>
    <w:div w:id="1138955789">
      <w:bodyDiv w:val="1"/>
      <w:marLeft w:val="0"/>
      <w:marRight w:val="0"/>
      <w:marTop w:val="0"/>
      <w:marBottom w:val="0"/>
      <w:divBdr>
        <w:top w:val="none" w:sz="0" w:space="0" w:color="auto"/>
        <w:left w:val="none" w:sz="0" w:space="0" w:color="auto"/>
        <w:bottom w:val="none" w:sz="0" w:space="0" w:color="auto"/>
        <w:right w:val="none" w:sz="0" w:space="0" w:color="auto"/>
      </w:divBdr>
      <w:divsChild>
        <w:div w:id="852577017">
          <w:marLeft w:val="0"/>
          <w:marRight w:val="0"/>
          <w:marTop w:val="0"/>
          <w:marBottom w:val="0"/>
          <w:divBdr>
            <w:top w:val="none" w:sz="0" w:space="0" w:color="auto"/>
            <w:left w:val="none" w:sz="0" w:space="0" w:color="auto"/>
            <w:bottom w:val="none" w:sz="0" w:space="0" w:color="auto"/>
            <w:right w:val="none" w:sz="0" w:space="0" w:color="auto"/>
          </w:divBdr>
          <w:divsChild>
            <w:div w:id="1543441403">
              <w:marLeft w:val="0"/>
              <w:marRight w:val="0"/>
              <w:marTop w:val="0"/>
              <w:marBottom w:val="0"/>
              <w:divBdr>
                <w:top w:val="none" w:sz="0" w:space="0" w:color="auto"/>
                <w:left w:val="none" w:sz="0" w:space="0" w:color="auto"/>
                <w:bottom w:val="none" w:sz="0" w:space="0" w:color="auto"/>
                <w:right w:val="none" w:sz="0" w:space="0" w:color="auto"/>
              </w:divBdr>
              <w:divsChild>
                <w:div w:id="821118149">
                  <w:marLeft w:val="0"/>
                  <w:marRight w:val="0"/>
                  <w:marTop w:val="0"/>
                  <w:marBottom w:val="0"/>
                  <w:divBdr>
                    <w:top w:val="none" w:sz="0" w:space="0" w:color="auto"/>
                    <w:left w:val="none" w:sz="0" w:space="0" w:color="auto"/>
                    <w:bottom w:val="none" w:sz="0" w:space="0" w:color="auto"/>
                    <w:right w:val="none" w:sz="0" w:space="0" w:color="auto"/>
                  </w:divBdr>
                  <w:divsChild>
                    <w:div w:id="1160461935">
                      <w:marLeft w:val="0"/>
                      <w:marRight w:val="0"/>
                      <w:marTop w:val="0"/>
                      <w:marBottom w:val="0"/>
                      <w:divBdr>
                        <w:top w:val="none" w:sz="0" w:space="0" w:color="auto"/>
                        <w:left w:val="none" w:sz="0" w:space="0" w:color="auto"/>
                        <w:bottom w:val="none" w:sz="0" w:space="0" w:color="auto"/>
                        <w:right w:val="none" w:sz="0" w:space="0" w:color="auto"/>
                      </w:divBdr>
                      <w:divsChild>
                        <w:div w:id="2761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4876">
      <w:bodyDiv w:val="1"/>
      <w:marLeft w:val="0"/>
      <w:marRight w:val="0"/>
      <w:marTop w:val="0"/>
      <w:marBottom w:val="0"/>
      <w:divBdr>
        <w:top w:val="none" w:sz="0" w:space="0" w:color="auto"/>
        <w:left w:val="none" w:sz="0" w:space="0" w:color="auto"/>
        <w:bottom w:val="none" w:sz="0" w:space="0" w:color="auto"/>
        <w:right w:val="none" w:sz="0" w:space="0" w:color="auto"/>
      </w:divBdr>
      <w:divsChild>
        <w:div w:id="537160987">
          <w:marLeft w:val="0"/>
          <w:marRight w:val="0"/>
          <w:marTop w:val="0"/>
          <w:marBottom w:val="0"/>
          <w:divBdr>
            <w:top w:val="none" w:sz="0" w:space="0" w:color="auto"/>
            <w:left w:val="none" w:sz="0" w:space="0" w:color="auto"/>
            <w:bottom w:val="none" w:sz="0" w:space="0" w:color="auto"/>
            <w:right w:val="none" w:sz="0" w:space="0" w:color="auto"/>
          </w:divBdr>
          <w:divsChild>
            <w:div w:id="2004502807">
              <w:marLeft w:val="0"/>
              <w:marRight w:val="0"/>
              <w:marTop w:val="0"/>
              <w:marBottom w:val="0"/>
              <w:divBdr>
                <w:top w:val="none" w:sz="0" w:space="0" w:color="auto"/>
                <w:left w:val="none" w:sz="0" w:space="0" w:color="auto"/>
                <w:bottom w:val="none" w:sz="0" w:space="0" w:color="auto"/>
                <w:right w:val="none" w:sz="0" w:space="0" w:color="auto"/>
              </w:divBdr>
              <w:divsChild>
                <w:div w:id="209726246">
                  <w:marLeft w:val="0"/>
                  <w:marRight w:val="0"/>
                  <w:marTop w:val="0"/>
                  <w:marBottom w:val="0"/>
                  <w:divBdr>
                    <w:top w:val="single" w:sz="12" w:space="0" w:color="08237A"/>
                    <w:left w:val="none" w:sz="0" w:space="0" w:color="auto"/>
                    <w:bottom w:val="none" w:sz="0" w:space="0" w:color="auto"/>
                    <w:right w:val="none" w:sz="0" w:space="0" w:color="auto"/>
                  </w:divBdr>
                  <w:divsChild>
                    <w:div w:id="1792944031">
                      <w:marLeft w:val="0"/>
                      <w:marRight w:val="0"/>
                      <w:marTop w:val="0"/>
                      <w:marBottom w:val="0"/>
                      <w:divBdr>
                        <w:top w:val="single" w:sz="2" w:space="6" w:color="BBBBBB"/>
                        <w:left w:val="single" w:sz="4" w:space="0" w:color="BBBBBB"/>
                        <w:bottom w:val="single" w:sz="4" w:space="0" w:color="BBBBBB"/>
                        <w:right w:val="single" w:sz="4" w:space="0" w:color="BBBBBB"/>
                      </w:divBdr>
                      <w:divsChild>
                        <w:div w:id="1732001973">
                          <w:marLeft w:val="0"/>
                          <w:marRight w:val="0"/>
                          <w:marTop w:val="0"/>
                          <w:marBottom w:val="0"/>
                          <w:divBdr>
                            <w:top w:val="none" w:sz="0" w:space="0" w:color="auto"/>
                            <w:left w:val="none" w:sz="0" w:space="0" w:color="auto"/>
                            <w:bottom w:val="none" w:sz="0" w:space="0" w:color="auto"/>
                            <w:right w:val="none" w:sz="0" w:space="0" w:color="auto"/>
                          </w:divBdr>
                          <w:divsChild>
                            <w:div w:id="11440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184">
      <w:bodyDiv w:val="1"/>
      <w:marLeft w:val="0"/>
      <w:marRight w:val="0"/>
      <w:marTop w:val="0"/>
      <w:marBottom w:val="0"/>
      <w:divBdr>
        <w:top w:val="none" w:sz="0" w:space="0" w:color="auto"/>
        <w:left w:val="none" w:sz="0" w:space="0" w:color="auto"/>
        <w:bottom w:val="none" w:sz="0" w:space="0" w:color="auto"/>
        <w:right w:val="none" w:sz="0" w:space="0" w:color="auto"/>
      </w:divBdr>
    </w:div>
    <w:div w:id="1305424516">
      <w:bodyDiv w:val="1"/>
      <w:marLeft w:val="0"/>
      <w:marRight w:val="0"/>
      <w:marTop w:val="0"/>
      <w:marBottom w:val="0"/>
      <w:divBdr>
        <w:top w:val="none" w:sz="0" w:space="0" w:color="auto"/>
        <w:left w:val="none" w:sz="0" w:space="0" w:color="auto"/>
        <w:bottom w:val="none" w:sz="0" w:space="0" w:color="auto"/>
        <w:right w:val="none" w:sz="0" w:space="0" w:color="auto"/>
      </w:divBdr>
    </w:div>
    <w:div w:id="1341619017">
      <w:bodyDiv w:val="1"/>
      <w:marLeft w:val="0"/>
      <w:marRight w:val="0"/>
      <w:marTop w:val="0"/>
      <w:marBottom w:val="0"/>
      <w:divBdr>
        <w:top w:val="none" w:sz="0" w:space="0" w:color="auto"/>
        <w:left w:val="none" w:sz="0" w:space="0" w:color="auto"/>
        <w:bottom w:val="none" w:sz="0" w:space="0" w:color="auto"/>
        <w:right w:val="none" w:sz="0" w:space="0" w:color="auto"/>
      </w:divBdr>
    </w:div>
    <w:div w:id="1467240517">
      <w:bodyDiv w:val="1"/>
      <w:marLeft w:val="0"/>
      <w:marRight w:val="0"/>
      <w:marTop w:val="0"/>
      <w:marBottom w:val="0"/>
      <w:divBdr>
        <w:top w:val="none" w:sz="0" w:space="0" w:color="auto"/>
        <w:left w:val="none" w:sz="0" w:space="0" w:color="auto"/>
        <w:bottom w:val="none" w:sz="0" w:space="0" w:color="auto"/>
        <w:right w:val="none" w:sz="0" w:space="0" w:color="auto"/>
      </w:divBdr>
    </w:div>
    <w:div w:id="1541747049">
      <w:bodyDiv w:val="1"/>
      <w:marLeft w:val="0"/>
      <w:marRight w:val="0"/>
      <w:marTop w:val="0"/>
      <w:marBottom w:val="0"/>
      <w:divBdr>
        <w:top w:val="none" w:sz="0" w:space="0" w:color="auto"/>
        <w:left w:val="none" w:sz="0" w:space="0" w:color="auto"/>
        <w:bottom w:val="none" w:sz="0" w:space="0" w:color="auto"/>
        <w:right w:val="none" w:sz="0" w:space="0" w:color="auto"/>
      </w:divBdr>
    </w:div>
    <w:div w:id="1603950441">
      <w:bodyDiv w:val="1"/>
      <w:marLeft w:val="0"/>
      <w:marRight w:val="0"/>
      <w:marTop w:val="0"/>
      <w:marBottom w:val="0"/>
      <w:divBdr>
        <w:top w:val="none" w:sz="0" w:space="0" w:color="auto"/>
        <w:left w:val="none" w:sz="0" w:space="0" w:color="auto"/>
        <w:bottom w:val="none" w:sz="0" w:space="0" w:color="auto"/>
        <w:right w:val="none" w:sz="0" w:space="0" w:color="auto"/>
      </w:divBdr>
    </w:div>
    <w:div w:id="1732341078">
      <w:bodyDiv w:val="1"/>
      <w:marLeft w:val="0"/>
      <w:marRight w:val="0"/>
      <w:marTop w:val="0"/>
      <w:marBottom w:val="0"/>
      <w:divBdr>
        <w:top w:val="none" w:sz="0" w:space="0" w:color="auto"/>
        <w:left w:val="none" w:sz="0" w:space="0" w:color="auto"/>
        <w:bottom w:val="none" w:sz="0" w:space="0" w:color="auto"/>
        <w:right w:val="none" w:sz="0" w:space="0" w:color="auto"/>
      </w:divBdr>
    </w:div>
    <w:div w:id="1897736850">
      <w:bodyDiv w:val="1"/>
      <w:marLeft w:val="0"/>
      <w:marRight w:val="0"/>
      <w:marTop w:val="0"/>
      <w:marBottom w:val="0"/>
      <w:divBdr>
        <w:top w:val="none" w:sz="0" w:space="0" w:color="auto"/>
        <w:left w:val="none" w:sz="0" w:space="0" w:color="auto"/>
        <w:bottom w:val="none" w:sz="0" w:space="0" w:color="auto"/>
        <w:right w:val="none" w:sz="0" w:space="0" w:color="auto"/>
      </w:divBdr>
    </w:div>
    <w:div w:id="1997147409">
      <w:bodyDiv w:val="1"/>
      <w:marLeft w:val="0"/>
      <w:marRight w:val="0"/>
      <w:marTop w:val="0"/>
      <w:marBottom w:val="0"/>
      <w:divBdr>
        <w:top w:val="none" w:sz="0" w:space="0" w:color="auto"/>
        <w:left w:val="none" w:sz="0" w:space="0" w:color="auto"/>
        <w:bottom w:val="none" w:sz="0" w:space="0" w:color="auto"/>
        <w:right w:val="none" w:sz="0" w:space="0" w:color="auto"/>
      </w:divBdr>
    </w:div>
    <w:div w:id="2025670597">
      <w:bodyDiv w:val="1"/>
      <w:marLeft w:val="0"/>
      <w:marRight w:val="0"/>
      <w:marTop w:val="0"/>
      <w:marBottom w:val="0"/>
      <w:divBdr>
        <w:top w:val="none" w:sz="0" w:space="0" w:color="auto"/>
        <w:left w:val="none" w:sz="0" w:space="0" w:color="auto"/>
        <w:bottom w:val="none" w:sz="0" w:space="0" w:color="auto"/>
        <w:right w:val="none" w:sz="0" w:space="0" w:color="auto"/>
      </w:divBdr>
      <w:divsChild>
        <w:div w:id="926352307">
          <w:marLeft w:val="0"/>
          <w:marRight w:val="0"/>
          <w:marTop w:val="0"/>
          <w:marBottom w:val="0"/>
          <w:divBdr>
            <w:top w:val="none" w:sz="0" w:space="0" w:color="auto"/>
            <w:left w:val="none" w:sz="0" w:space="0" w:color="auto"/>
            <w:bottom w:val="none" w:sz="0" w:space="0" w:color="auto"/>
            <w:right w:val="none" w:sz="0" w:space="0" w:color="auto"/>
          </w:divBdr>
          <w:divsChild>
            <w:div w:id="251091812">
              <w:marLeft w:val="0"/>
              <w:marRight w:val="0"/>
              <w:marTop w:val="0"/>
              <w:marBottom w:val="0"/>
              <w:divBdr>
                <w:top w:val="none" w:sz="0" w:space="0" w:color="auto"/>
                <w:left w:val="none" w:sz="0" w:space="0" w:color="auto"/>
                <w:bottom w:val="none" w:sz="0" w:space="0" w:color="auto"/>
                <w:right w:val="none" w:sz="0" w:space="0" w:color="auto"/>
              </w:divBdr>
              <w:divsChild>
                <w:div w:id="854727766">
                  <w:marLeft w:val="0"/>
                  <w:marRight w:val="0"/>
                  <w:marTop w:val="0"/>
                  <w:marBottom w:val="0"/>
                  <w:divBdr>
                    <w:top w:val="none" w:sz="0" w:space="0" w:color="auto"/>
                    <w:left w:val="none" w:sz="0" w:space="0" w:color="auto"/>
                    <w:bottom w:val="none" w:sz="0" w:space="0" w:color="auto"/>
                    <w:right w:val="none" w:sz="0" w:space="0" w:color="auto"/>
                  </w:divBdr>
                  <w:divsChild>
                    <w:div w:id="931474633">
                      <w:marLeft w:val="0"/>
                      <w:marRight w:val="0"/>
                      <w:marTop w:val="0"/>
                      <w:marBottom w:val="0"/>
                      <w:divBdr>
                        <w:top w:val="none" w:sz="0" w:space="0" w:color="auto"/>
                        <w:left w:val="none" w:sz="0" w:space="0" w:color="auto"/>
                        <w:bottom w:val="none" w:sz="0" w:space="0" w:color="auto"/>
                        <w:right w:val="none" w:sz="0" w:space="0" w:color="auto"/>
                      </w:divBdr>
                      <w:divsChild>
                        <w:div w:id="7075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emf"/><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2.emf"/><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s>
</file>

<file path=word/_rels/header1.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emf"/></Relationships>
</file>

<file path=word/_rels/header2.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em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jpe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SS\Desktop\&#37329;&#34701;&#34892;&#19994;&#26032;&#38395;201409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SS\Desktop\&#37329;&#34701;&#34892;&#19994;&#26032;&#38395;201409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SS\Desktop\&#37329;&#34701;&#34892;&#19994;&#26032;&#38395;201409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SS\Desktop\&#37329;&#34701;&#34892;&#19994;&#26032;&#38395;20141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8375741226791098"/>
          <c:y val="4.6921921921921926E-2"/>
          <c:w val="0.73325738796539319"/>
          <c:h val="0.59849613392920453"/>
        </c:manualLayout>
      </c:layout>
      <c:lineChart>
        <c:grouping val="standard"/>
        <c:ser>
          <c:idx val="0"/>
          <c:order val="0"/>
          <c:tx>
            <c:v>保险Ⅱ(中信)</c:v>
          </c:tx>
          <c:spPr>
            <a:ln w="38100">
              <a:solidFill>
                <a:srgbClr val="FF0000"/>
              </a:solidFill>
              <a:prstDash val="solid"/>
            </a:ln>
          </c:spPr>
          <c:marker>
            <c:symbol val="none"/>
          </c:marker>
          <c:dPt>
            <c:idx val="228"/>
            <c:spPr>
              <a:ln w="19050">
                <a:solidFill>
                  <a:srgbClr val="FF0000"/>
                </a:solidFill>
                <a:prstDash val="solid"/>
              </a:ln>
            </c:spPr>
          </c:dPt>
          <c:cat>
            <c:numRef>
              <c:f>'保险Ⅱ(中信)'!$A$3:$A$247</c:f>
              <c:numCache>
                <c:formatCode>yyyy/m/d</c:formatCode>
                <c:ptCount val="245"/>
                <c:pt idx="0">
                  <c:v>41568</c:v>
                </c:pt>
                <c:pt idx="1">
                  <c:v>41569</c:v>
                </c:pt>
                <c:pt idx="2">
                  <c:v>41570</c:v>
                </c:pt>
                <c:pt idx="3">
                  <c:v>41571</c:v>
                </c:pt>
                <c:pt idx="4">
                  <c:v>41572</c:v>
                </c:pt>
                <c:pt idx="5">
                  <c:v>41575</c:v>
                </c:pt>
                <c:pt idx="6">
                  <c:v>41576</c:v>
                </c:pt>
                <c:pt idx="7">
                  <c:v>41577</c:v>
                </c:pt>
                <c:pt idx="8">
                  <c:v>41578</c:v>
                </c:pt>
                <c:pt idx="9">
                  <c:v>41579</c:v>
                </c:pt>
                <c:pt idx="10">
                  <c:v>41582</c:v>
                </c:pt>
                <c:pt idx="11">
                  <c:v>41583</c:v>
                </c:pt>
                <c:pt idx="12">
                  <c:v>41584</c:v>
                </c:pt>
                <c:pt idx="13">
                  <c:v>41585</c:v>
                </c:pt>
                <c:pt idx="14">
                  <c:v>41586</c:v>
                </c:pt>
                <c:pt idx="15">
                  <c:v>41589</c:v>
                </c:pt>
                <c:pt idx="16">
                  <c:v>41590</c:v>
                </c:pt>
                <c:pt idx="17">
                  <c:v>41591</c:v>
                </c:pt>
                <c:pt idx="18">
                  <c:v>41592</c:v>
                </c:pt>
                <c:pt idx="19">
                  <c:v>41593</c:v>
                </c:pt>
                <c:pt idx="20">
                  <c:v>41596</c:v>
                </c:pt>
                <c:pt idx="21">
                  <c:v>41597</c:v>
                </c:pt>
                <c:pt idx="22">
                  <c:v>41598</c:v>
                </c:pt>
                <c:pt idx="23">
                  <c:v>41599</c:v>
                </c:pt>
                <c:pt idx="24">
                  <c:v>41600</c:v>
                </c:pt>
                <c:pt idx="25">
                  <c:v>41603</c:v>
                </c:pt>
                <c:pt idx="26">
                  <c:v>41604</c:v>
                </c:pt>
                <c:pt idx="27">
                  <c:v>41605</c:v>
                </c:pt>
                <c:pt idx="28">
                  <c:v>41606</c:v>
                </c:pt>
                <c:pt idx="29">
                  <c:v>41607</c:v>
                </c:pt>
                <c:pt idx="30">
                  <c:v>41610</c:v>
                </c:pt>
                <c:pt idx="31">
                  <c:v>41611</c:v>
                </c:pt>
                <c:pt idx="32">
                  <c:v>41612</c:v>
                </c:pt>
                <c:pt idx="33">
                  <c:v>41613</c:v>
                </c:pt>
                <c:pt idx="34">
                  <c:v>41614</c:v>
                </c:pt>
                <c:pt idx="35">
                  <c:v>41617</c:v>
                </c:pt>
                <c:pt idx="36">
                  <c:v>41618</c:v>
                </c:pt>
                <c:pt idx="37">
                  <c:v>41619</c:v>
                </c:pt>
                <c:pt idx="38">
                  <c:v>41620</c:v>
                </c:pt>
                <c:pt idx="39">
                  <c:v>41621</c:v>
                </c:pt>
                <c:pt idx="40">
                  <c:v>41624</c:v>
                </c:pt>
                <c:pt idx="41">
                  <c:v>41625</c:v>
                </c:pt>
                <c:pt idx="42">
                  <c:v>41626</c:v>
                </c:pt>
                <c:pt idx="43">
                  <c:v>41627</c:v>
                </c:pt>
                <c:pt idx="44">
                  <c:v>41628</c:v>
                </c:pt>
                <c:pt idx="45">
                  <c:v>41631</c:v>
                </c:pt>
                <c:pt idx="46">
                  <c:v>41632</c:v>
                </c:pt>
                <c:pt idx="47">
                  <c:v>41633</c:v>
                </c:pt>
                <c:pt idx="48">
                  <c:v>41634</c:v>
                </c:pt>
                <c:pt idx="49">
                  <c:v>41635</c:v>
                </c:pt>
                <c:pt idx="50">
                  <c:v>41638</c:v>
                </c:pt>
                <c:pt idx="51">
                  <c:v>41639</c:v>
                </c:pt>
                <c:pt idx="52">
                  <c:v>41641</c:v>
                </c:pt>
                <c:pt idx="53">
                  <c:v>41642</c:v>
                </c:pt>
                <c:pt idx="54">
                  <c:v>41645</c:v>
                </c:pt>
                <c:pt idx="55">
                  <c:v>41646</c:v>
                </c:pt>
                <c:pt idx="56">
                  <c:v>41647</c:v>
                </c:pt>
                <c:pt idx="57">
                  <c:v>41648</c:v>
                </c:pt>
                <c:pt idx="58">
                  <c:v>41649</c:v>
                </c:pt>
                <c:pt idx="59">
                  <c:v>41652</c:v>
                </c:pt>
                <c:pt idx="60">
                  <c:v>41653</c:v>
                </c:pt>
                <c:pt idx="61">
                  <c:v>41654</c:v>
                </c:pt>
                <c:pt idx="62">
                  <c:v>41655</c:v>
                </c:pt>
                <c:pt idx="63">
                  <c:v>41656</c:v>
                </c:pt>
                <c:pt idx="64">
                  <c:v>41659</c:v>
                </c:pt>
                <c:pt idx="65">
                  <c:v>41660</c:v>
                </c:pt>
                <c:pt idx="66">
                  <c:v>41661</c:v>
                </c:pt>
                <c:pt idx="67">
                  <c:v>41662</c:v>
                </c:pt>
                <c:pt idx="68">
                  <c:v>41663</c:v>
                </c:pt>
                <c:pt idx="69">
                  <c:v>41666</c:v>
                </c:pt>
                <c:pt idx="70">
                  <c:v>41667</c:v>
                </c:pt>
                <c:pt idx="71">
                  <c:v>41668</c:v>
                </c:pt>
                <c:pt idx="72">
                  <c:v>41669</c:v>
                </c:pt>
                <c:pt idx="73">
                  <c:v>41677</c:v>
                </c:pt>
                <c:pt idx="74">
                  <c:v>41680</c:v>
                </c:pt>
                <c:pt idx="75">
                  <c:v>41681</c:v>
                </c:pt>
                <c:pt idx="76">
                  <c:v>41682</c:v>
                </c:pt>
                <c:pt idx="77">
                  <c:v>41683</c:v>
                </c:pt>
                <c:pt idx="78">
                  <c:v>41684</c:v>
                </c:pt>
                <c:pt idx="79">
                  <c:v>41687</c:v>
                </c:pt>
                <c:pt idx="80">
                  <c:v>41688</c:v>
                </c:pt>
                <c:pt idx="81">
                  <c:v>41689</c:v>
                </c:pt>
                <c:pt idx="82">
                  <c:v>41690</c:v>
                </c:pt>
                <c:pt idx="83">
                  <c:v>41691</c:v>
                </c:pt>
                <c:pt idx="84">
                  <c:v>41694</c:v>
                </c:pt>
                <c:pt idx="85">
                  <c:v>41695</c:v>
                </c:pt>
                <c:pt idx="86">
                  <c:v>41696</c:v>
                </c:pt>
                <c:pt idx="87">
                  <c:v>41697</c:v>
                </c:pt>
                <c:pt idx="88">
                  <c:v>41698</c:v>
                </c:pt>
                <c:pt idx="89">
                  <c:v>41701</c:v>
                </c:pt>
                <c:pt idx="90">
                  <c:v>41702</c:v>
                </c:pt>
                <c:pt idx="91">
                  <c:v>41703</c:v>
                </c:pt>
                <c:pt idx="92">
                  <c:v>41704</c:v>
                </c:pt>
                <c:pt idx="93">
                  <c:v>41705</c:v>
                </c:pt>
                <c:pt idx="94">
                  <c:v>41708</c:v>
                </c:pt>
                <c:pt idx="95">
                  <c:v>41709</c:v>
                </c:pt>
                <c:pt idx="96">
                  <c:v>41710</c:v>
                </c:pt>
                <c:pt idx="97">
                  <c:v>41711</c:v>
                </c:pt>
                <c:pt idx="98">
                  <c:v>41712</c:v>
                </c:pt>
                <c:pt idx="99">
                  <c:v>41715</c:v>
                </c:pt>
                <c:pt idx="100">
                  <c:v>41716</c:v>
                </c:pt>
                <c:pt idx="101">
                  <c:v>41717</c:v>
                </c:pt>
                <c:pt idx="102">
                  <c:v>41718</c:v>
                </c:pt>
                <c:pt idx="103">
                  <c:v>41719</c:v>
                </c:pt>
                <c:pt idx="104">
                  <c:v>41722</c:v>
                </c:pt>
                <c:pt idx="105">
                  <c:v>41723</c:v>
                </c:pt>
                <c:pt idx="106">
                  <c:v>41724</c:v>
                </c:pt>
                <c:pt idx="107">
                  <c:v>41725</c:v>
                </c:pt>
                <c:pt idx="108">
                  <c:v>41726</c:v>
                </c:pt>
                <c:pt idx="109">
                  <c:v>41729</c:v>
                </c:pt>
                <c:pt idx="110">
                  <c:v>41730</c:v>
                </c:pt>
                <c:pt idx="111">
                  <c:v>41731</c:v>
                </c:pt>
                <c:pt idx="112">
                  <c:v>41732</c:v>
                </c:pt>
                <c:pt idx="113">
                  <c:v>41733</c:v>
                </c:pt>
                <c:pt idx="114">
                  <c:v>41737</c:v>
                </c:pt>
                <c:pt idx="115">
                  <c:v>41738</c:v>
                </c:pt>
                <c:pt idx="116">
                  <c:v>41739</c:v>
                </c:pt>
                <c:pt idx="117">
                  <c:v>41740</c:v>
                </c:pt>
                <c:pt idx="118">
                  <c:v>41743</c:v>
                </c:pt>
                <c:pt idx="119">
                  <c:v>41744</c:v>
                </c:pt>
                <c:pt idx="120">
                  <c:v>41745</c:v>
                </c:pt>
                <c:pt idx="121">
                  <c:v>41746</c:v>
                </c:pt>
                <c:pt idx="122">
                  <c:v>41747</c:v>
                </c:pt>
                <c:pt idx="123">
                  <c:v>41750</c:v>
                </c:pt>
                <c:pt idx="124">
                  <c:v>41751</c:v>
                </c:pt>
                <c:pt idx="125">
                  <c:v>41752</c:v>
                </c:pt>
                <c:pt idx="126">
                  <c:v>41753</c:v>
                </c:pt>
                <c:pt idx="127">
                  <c:v>41754</c:v>
                </c:pt>
                <c:pt idx="128">
                  <c:v>41757</c:v>
                </c:pt>
                <c:pt idx="129">
                  <c:v>41758</c:v>
                </c:pt>
                <c:pt idx="130">
                  <c:v>41759</c:v>
                </c:pt>
                <c:pt idx="131">
                  <c:v>41764</c:v>
                </c:pt>
                <c:pt idx="132">
                  <c:v>41765</c:v>
                </c:pt>
                <c:pt idx="133">
                  <c:v>41766</c:v>
                </c:pt>
                <c:pt idx="134">
                  <c:v>41767</c:v>
                </c:pt>
                <c:pt idx="135">
                  <c:v>41768</c:v>
                </c:pt>
                <c:pt idx="136">
                  <c:v>41771</c:v>
                </c:pt>
                <c:pt idx="137">
                  <c:v>41772</c:v>
                </c:pt>
                <c:pt idx="138">
                  <c:v>41773</c:v>
                </c:pt>
                <c:pt idx="139">
                  <c:v>41774</c:v>
                </c:pt>
                <c:pt idx="140">
                  <c:v>41775</c:v>
                </c:pt>
                <c:pt idx="141">
                  <c:v>41778</c:v>
                </c:pt>
                <c:pt idx="142">
                  <c:v>41779</c:v>
                </c:pt>
                <c:pt idx="143">
                  <c:v>41780</c:v>
                </c:pt>
                <c:pt idx="144">
                  <c:v>41781</c:v>
                </c:pt>
                <c:pt idx="145">
                  <c:v>41782</c:v>
                </c:pt>
                <c:pt idx="146">
                  <c:v>41785</c:v>
                </c:pt>
                <c:pt idx="147">
                  <c:v>41786</c:v>
                </c:pt>
                <c:pt idx="148">
                  <c:v>41787</c:v>
                </c:pt>
                <c:pt idx="149">
                  <c:v>41788</c:v>
                </c:pt>
                <c:pt idx="150">
                  <c:v>41789</c:v>
                </c:pt>
                <c:pt idx="151">
                  <c:v>41793</c:v>
                </c:pt>
                <c:pt idx="152">
                  <c:v>41794</c:v>
                </c:pt>
                <c:pt idx="153">
                  <c:v>41795</c:v>
                </c:pt>
                <c:pt idx="154">
                  <c:v>41796</c:v>
                </c:pt>
                <c:pt idx="155">
                  <c:v>41799</c:v>
                </c:pt>
                <c:pt idx="156">
                  <c:v>41800</c:v>
                </c:pt>
                <c:pt idx="157">
                  <c:v>41801</c:v>
                </c:pt>
                <c:pt idx="158">
                  <c:v>41802</c:v>
                </c:pt>
                <c:pt idx="159">
                  <c:v>41803</c:v>
                </c:pt>
                <c:pt idx="160">
                  <c:v>41806</c:v>
                </c:pt>
                <c:pt idx="161">
                  <c:v>41807</c:v>
                </c:pt>
                <c:pt idx="162">
                  <c:v>41808</c:v>
                </c:pt>
                <c:pt idx="163">
                  <c:v>41809</c:v>
                </c:pt>
                <c:pt idx="164">
                  <c:v>41810</c:v>
                </c:pt>
                <c:pt idx="165">
                  <c:v>41813</c:v>
                </c:pt>
                <c:pt idx="166">
                  <c:v>41814</c:v>
                </c:pt>
                <c:pt idx="167">
                  <c:v>41815</c:v>
                </c:pt>
                <c:pt idx="168">
                  <c:v>41816</c:v>
                </c:pt>
                <c:pt idx="169">
                  <c:v>41817</c:v>
                </c:pt>
                <c:pt idx="170">
                  <c:v>41820</c:v>
                </c:pt>
                <c:pt idx="171">
                  <c:v>41821</c:v>
                </c:pt>
                <c:pt idx="172">
                  <c:v>41822</c:v>
                </c:pt>
                <c:pt idx="173">
                  <c:v>41823</c:v>
                </c:pt>
                <c:pt idx="174">
                  <c:v>41824</c:v>
                </c:pt>
                <c:pt idx="175">
                  <c:v>41827</c:v>
                </c:pt>
                <c:pt idx="176">
                  <c:v>41828</c:v>
                </c:pt>
                <c:pt idx="177">
                  <c:v>41829</c:v>
                </c:pt>
                <c:pt idx="178">
                  <c:v>41830</c:v>
                </c:pt>
                <c:pt idx="179">
                  <c:v>41831</c:v>
                </c:pt>
                <c:pt idx="180">
                  <c:v>41834</c:v>
                </c:pt>
                <c:pt idx="181">
                  <c:v>41835</c:v>
                </c:pt>
                <c:pt idx="182">
                  <c:v>41836</c:v>
                </c:pt>
                <c:pt idx="183">
                  <c:v>41837</c:v>
                </c:pt>
                <c:pt idx="184">
                  <c:v>41838</c:v>
                </c:pt>
                <c:pt idx="185">
                  <c:v>41841</c:v>
                </c:pt>
                <c:pt idx="186">
                  <c:v>41842</c:v>
                </c:pt>
                <c:pt idx="187">
                  <c:v>41843</c:v>
                </c:pt>
                <c:pt idx="188">
                  <c:v>41844</c:v>
                </c:pt>
                <c:pt idx="189">
                  <c:v>41845</c:v>
                </c:pt>
                <c:pt idx="190">
                  <c:v>41848</c:v>
                </c:pt>
                <c:pt idx="191">
                  <c:v>41849</c:v>
                </c:pt>
                <c:pt idx="192">
                  <c:v>41850</c:v>
                </c:pt>
                <c:pt idx="193">
                  <c:v>41851</c:v>
                </c:pt>
                <c:pt idx="194">
                  <c:v>41852</c:v>
                </c:pt>
                <c:pt idx="195">
                  <c:v>41855</c:v>
                </c:pt>
                <c:pt idx="196">
                  <c:v>41856</c:v>
                </c:pt>
                <c:pt idx="197">
                  <c:v>41857</c:v>
                </c:pt>
                <c:pt idx="198">
                  <c:v>41858</c:v>
                </c:pt>
                <c:pt idx="199">
                  <c:v>41859</c:v>
                </c:pt>
                <c:pt idx="200">
                  <c:v>41862</c:v>
                </c:pt>
                <c:pt idx="201">
                  <c:v>41863</c:v>
                </c:pt>
                <c:pt idx="202">
                  <c:v>41864</c:v>
                </c:pt>
                <c:pt idx="203">
                  <c:v>41865</c:v>
                </c:pt>
                <c:pt idx="204">
                  <c:v>41866</c:v>
                </c:pt>
                <c:pt idx="205">
                  <c:v>41869</c:v>
                </c:pt>
                <c:pt idx="206">
                  <c:v>41870</c:v>
                </c:pt>
                <c:pt idx="207">
                  <c:v>41871</c:v>
                </c:pt>
                <c:pt idx="208">
                  <c:v>41872</c:v>
                </c:pt>
                <c:pt idx="209">
                  <c:v>41873</c:v>
                </c:pt>
                <c:pt idx="210">
                  <c:v>41876</c:v>
                </c:pt>
                <c:pt idx="211">
                  <c:v>41877</c:v>
                </c:pt>
                <c:pt idx="212">
                  <c:v>41878</c:v>
                </c:pt>
                <c:pt idx="213">
                  <c:v>41879</c:v>
                </c:pt>
                <c:pt idx="214">
                  <c:v>41880</c:v>
                </c:pt>
                <c:pt idx="215">
                  <c:v>41883</c:v>
                </c:pt>
                <c:pt idx="216">
                  <c:v>41884</c:v>
                </c:pt>
                <c:pt idx="217">
                  <c:v>41885</c:v>
                </c:pt>
                <c:pt idx="218">
                  <c:v>41886</c:v>
                </c:pt>
                <c:pt idx="219">
                  <c:v>41887</c:v>
                </c:pt>
                <c:pt idx="220">
                  <c:v>41891</c:v>
                </c:pt>
                <c:pt idx="221">
                  <c:v>41892</c:v>
                </c:pt>
                <c:pt idx="222">
                  <c:v>41893</c:v>
                </c:pt>
                <c:pt idx="223">
                  <c:v>41894</c:v>
                </c:pt>
                <c:pt idx="224">
                  <c:v>41897</c:v>
                </c:pt>
                <c:pt idx="225">
                  <c:v>41898</c:v>
                </c:pt>
                <c:pt idx="226">
                  <c:v>41899</c:v>
                </c:pt>
                <c:pt idx="227">
                  <c:v>41900</c:v>
                </c:pt>
                <c:pt idx="228">
                  <c:v>41901</c:v>
                </c:pt>
                <c:pt idx="229">
                  <c:v>41904</c:v>
                </c:pt>
                <c:pt idx="230">
                  <c:v>41905</c:v>
                </c:pt>
                <c:pt idx="231">
                  <c:v>41906</c:v>
                </c:pt>
                <c:pt idx="232">
                  <c:v>41907</c:v>
                </c:pt>
                <c:pt idx="233">
                  <c:v>41908</c:v>
                </c:pt>
                <c:pt idx="234">
                  <c:v>41911</c:v>
                </c:pt>
                <c:pt idx="235">
                  <c:v>41912</c:v>
                </c:pt>
                <c:pt idx="236">
                  <c:v>41920</c:v>
                </c:pt>
                <c:pt idx="237">
                  <c:v>41921</c:v>
                </c:pt>
                <c:pt idx="238">
                  <c:v>41922</c:v>
                </c:pt>
                <c:pt idx="239">
                  <c:v>41925</c:v>
                </c:pt>
                <c:pt idx="240">
                  <c:v>41926</c:v>
                </c:pt>
                <c:pt idx="241">
                  <c:v>41927</c:v>
                </c:pt>
                <c:pt idx="242">
                  <c:v>41928</c:v>
                </c:pt>
                <c:pt idx="243">
                  <c:v>41929</c:v>
                </c:pt>
                <c:pt idx="244">
                  <c:v>41932</c:v>
                </c:pt>
              </c:numCache>
            </c:numRef>
          </c:cat>
          <c:val>
            <c:numRef>
              <c:f>'保险Ⅱ(中信)'!$B$3:$B$247</c:f>
              <c:numCache>
                <c:formatCode>General</c:formatCode>
                <c:ptCount val="245"/>
                <c:pt idx="0">
                  <c:v>667.18000000000006</c:v>
                </c:pt>
                <c:pt idx="1">
                  <c:v>658.29000000000008</c:v>
                </c:pt>
                <c:pt idx="2">
                  <c:v>655.57</c:v>
                </c:pt>
                <c:pt idx="3">
                  <c:v>642.52</c:v>
                </c:pt>
                <c:pt idx="4">
                  <c:v>644.83999999999992</c:v>
                </c:pt>
                <c:pt idx="5">
                  <c:v>650.29000000000008</c:v>
                </c:pt>
                <c:pt idx="6">
                  <c:v>667.43999999999994</c:v>
                </c:pt>
                <c:pt idx="7">
                  <c:v>677.05</c:v>
                </c:pt>
                <c:pt idx="8">
                  <c:v>670.79000000000008</c:v>
                </c:pt>
                <c:pt idx="9">
                  <c:v>682.58</c:v>
                </c:pt>
                <c:pt idx="10">
                  <c:v>674.29000000000008</c:v>
                </c:pt>
                <c:pt idx="11">
                  <c:v>669.94999999999993</c:v>
                </c:pt>
                <c:pt idx="12">
                  <c:v>665.19</c:v>
                </c:pt>
                <c:pt idx="13">
                  <c:v>664.93</c:v>
                </c:pt>
                <c:pt idx="14">
                  <c:v>655.7700000000001</c:v>
                </c:pt>
                <c:pt idx="15">
                  <c:v>657.41</c:v>
                </c:pt>
                <c:pt idx="16">
                  <c:v>678.23</c:v>
                </c:pt>
                <c:pt idx="17">
                  <c:v>660.79000000000008</c:v>
                </c:pt>
                <c:pt idx="18">
                  <c:v>666.79000000000008</c:v>
                </c:pt>
                <c:pt idx="19">
                  <c:v>691.84999999999991</c:v>
                </c:pt>
                <c:pt idx="20">
                  <c:v>750.87</c:v>
                </c:pt>
                <c:pt idx="21">
                  <c:v>752.8599999999999</c:v>
                </c:pt>
                <c:pt idx="22">
                  <c:v>756.31</c:v>
                </c:pt>
                <c:pt idx="23">
                  <c:v>737.01</c:v>
                </c:pt>
                <c:pt idx="24">
                  <c:v>737.55</c:v>
                </c:pt>
                <c:pt idx="25">
                  <c:v>740.45999999999992</c:v>
                </c:pt>
                <c:pt idx="26">
                  <c:v>741.13</c:v>
                </c:pt>
                <c:pt idx="27">
                  <c:v>756.7</c:v>
                </c:pt>
                <c:pt idx="28">
                  <c:v>755.93</c:v>
                </c:pt>
                <c:pt idx="29">
                  <c:v>755.81</c:v>
                </c:pt>
                <c:pt idx="30">
                  <c:v>776.21</c:v>
                </c:pt>
                <c:pt idx="31">
                  <c:v>773.28000000000009</c:v>
                </c:pt>
                <c:pt idx="32">
                  <c:v>790.23</c:v>
                </c:pt>
                <c:pt idx="33">
                  <c:v>790.38</c:v>
                </c:pt>
                <c:pt idx="34">
                  <c:v>772.66</c:v>
                </c:pt>
                <c:pt idx="35">
                  <c:v>776.29000000000008</c:v>
                </c:pt>
                <c:pt idx="36">
                  <c:v>776.03</c:v>
                </c:pt>
                <c:pt idx="37">
                  <c:v>748.08</c:v>
                </c:pt>
                <c:pt idx="38">
                  <c:v>743.19</c:v>
                </c:pt>
                <c:pt idx="39">
                  <c:v>752.53</c:v>
                </c:pt>
                <c:pt idx="40">
                  <c:v>744.88</c:v>
                </c:pt>
                <c:pt idx="41">
                  <c:v>743.4</c:v>
                </c:pt>
                <c:pt idx="42">
                  <c:v>740.19</c:v>
                </c:pt>
                <c:pt idx="43">
                  <c:v>729.1</c:v>
                </c:pt>
                <c:pt idx="44">
                  <c:v>699.31</c:v>
                </c:pt>
                <c:pt idx="45">
                  <c:v>709.43999999999994</c:v>
                </c:pt>
                <c:pt idx="46">
                  <c:v>714.9</c:v>
                </c:pt>
                <c:pt idx="47">
                  <c:v>720.7</c:v>
                </c:pt>
                <c:pt idx="48">
                  <c:v>711.62</c:v>
                </c:pt>
                <c:pt idx="49">
                  <c:v>733.52</c:v>
                </c:pt>
                <c:pt idx="50">
                  <c:v>730.89</c:v>
                </c:pt>
                <c:pt idx="51">
                  <c:v>743.7700000000001</c:v>
                </c:pt>
                <c:pt idx="52">
                  <c:v>734.11</c:v>
                </c:pt>
                <c:pt idx="53">
                  <c:v>716.65</c:v>
                </c:pt>
                <c:pt idx="54">
                  <c:v>712.26</c:v>
                </c:pt>
                <c:pt idx="55">
                  <c:v>708.88</c:v>
                </c:pt>
                <c:pt idx="56">
                  <c:v>715.91</c:v>
                </c:pt>
                <c:pt idx="57">
                  <c:v>704.87</c:v>
                </c:pt>
                <c:pt idx="58">
                  <c:v>700.33999999999992</c:v>
                </c:pt>
                <c:pt idx="59">
                  <c:v>697.94999999999993</c:v>
                </c:pt>
                <c:pt idx="60">
                  <c:v>706.93999999999994</c:v>
                </c:pt>
                <c:pt idx="61">
                  <c:v>702.68000000000006</c:v>
                </c:pt>
                <c:pt idx="62">
                  <c:v>722.51</c:v>
                </c:pt>
                <c:pt idx="63">
                  <c:v>715.61</c:v>
                </c:pt>
                <c:pt idx="64">
                  <c:v>712.44999999999993</c:v>
                </c:pt>
                <c:pt idx="65">
                  <c:v>721.13</c:v>
                </c:pt>
                <c:pt idx="66">
                  <c:v>731.56</c:v>
                </c:pt>
                <c:pt idx="67">
                  <c:v>718.99</c:v>
                </c:pt>
                <c:pt idx="68">
                  <c:v>711.98</c:v>
                </c:pt>
                <c:pt idx="69">
                  <c:v>686.43</c:v>
                </c:pt>
                <c:pt idx="70">
                  <c:v>690.13</c:v>
                </c:pt>
                <c:pt idx="71">
                  <c:v>692.7700000000001</c:v>
                </c:pt>
                <c:pt idx="72">
                  <c:v>687.1</c:v>
                </c:pt>
                <c:pt idx="73">
                  <c:v>673.47</c:v>
                </c:pt>
                <c:pt idx="74">
                  <c:v>688.5</c:v>
                </c:pt>
                <c:pt idx="75">
                  <c:v>697.78000000000009</c:v>
                </c:pt>
                <c:pt idx="76">
                  <c:v>693.25</c:v>
                </c:pt>
                <c:pt idx="77">
                  <c:v>688.8</c:v>
                </c:pt>
                <c:pt idx="78">
                  <c:v>691.2700000000001</c:v>
                </c:pt>
                <c:pt idx="79">
                  <c:v>700.3599999999999</c:v>
                </c:pt>
                <c:pt idx="80">
                  <c:v>686.22</c:v>
                </c:pt>
                <c:pt idx="81">
                  <c:v>695.65</c:v>
                </c:pt>
                <c:pt idx="82">
                  <c:v>686.15</c:v>
                </c:pt>
                <c:pt idx="83">
                  <c:v>690.22</c:v>
                </c:pt>
                <c:pt idx="84">
                  <c:v>683.51</c:v>
                </c:pt>
                <c:pt idx="85">
                  <c:v>665.3599999999999</c:v>
                </c:pt>
                <c:pt idx="86">
                  <c:v>665.2700000000001</c:v>
                </c:pt>
                <c:pt idx="87">
                  <c:v>672.41</c:v>
                </c:pt>
                <c:pt idx="88">
                  <c:v>678.69</c:v>
                </c:pt>
                <c:pt idx="89">
                  <c:v>671.75</c:v>
                </c:pt>
                <c:pt idx="90">
                  <c:v>671.88</c:v>
                </c:pt>
                <c:pt idx="91">
                  <c:v>664.79000000000008</c:v>
                </c:pt>
                <c:pt idx="92">
                  <c:v>671.42</c:v>
                </c:pt>
                <c:pt idx="93">
                  <c:v>662.7700000000001</c:v>
                </c:pt>
                <c:pt idx="94">
                  <c:v>639.4</c:v>
                </c:pt>
                <c:pt idx="95">
                  <c:v>639.42999999999984</c:v>
                </c:pt>
                <c:pt idx="96">
                  <c:v>642.08000000000004</c:v>
                </c:pt>
                <c:pt idx="97">
                  <c:v>646.97</c:v>
                </c:pt>
                <c:pt idx="98">
                  <c:v>642.84999999999991</c:v>
                </c:pt>
                <c:pt idx="99">
                  <c:v>647.3599999999999</c:v>
                </c:pt>
                <c:pt idx="100">
                  <c:v>640.48</c:v>
                </c:pt>
                <c:pt idx="101">
                  <c:v>634.81999999999994</c:v>
                </c:pt>
                <c:pt idx="102">
                  <c:v>634.73</c:v>
                </c:pt>
                <c:pt idx="103">
                  <c:v>657.6</c:v>
                </c:pt>
                <c:pt idx="104">
                  <c:v>664.32999999999993</c:v>
                </c:pt>
                <c:pt idx="105">
                  <c:v>655.94999999999993</c:v>
                </c:pt>
                <c:pt idx="106">
                  <c:v>656.9</c:v>
                </c:pt>
                <c:pt idx="107">
                  <c:v>655.19000000000005</c:v>
                </c:pt>
                <c:pt idx="108">
                  <c:v>658.19</c:v>
                </c:pt>
                <c:pt idx="109">
                  <c:v>661.08</c:v>
                </c:pt>
                <c:pt idx="110">
                  <c:v>663.7700000000001</c:v>
                </c:pt>
                <c:pt idx="111">
                  <c:v>676.31</c:v>
                </c:pt>
                <c:pt idx="112">
                  <c:v>674.94999999999993</c:v>
                </c:pt>
                <c:pt idx="113">
                  <c:v>679.24</c:v>
                </c:pt>
                <c:pt idx="114">
                  <c:v>697.81</c:v>
                </c:pt>
                <c:pt idx="115">
                  <c:v>693.01</c:v>
                </c:pt>
                <c:pt idx="116">
                  <c:v>738.24</c:v>
                </c:pt>
                <c:pt idx="117">
                  <c:v>723.44999999999993</c:v>
                </c:pt>
                <c:pt idx="118">
                  <c:v>715.34999999999991</c:v>
                </c:pt>
                <c:pt idx="119">
                  <c:v>700.37</c:v>
                </c:pt>
                <c:pt idx="120">
                  <c:v>702.55</c:v>
                </c:pt>
                <c:pt idx="121">
                  <c:v>694.06</c:v>
                </c:pt>
                <c:pt idx="122">
                  <c:v>694.03</c:v>
                </c:pt>
                <c:pt idx="123">
                  <c:v>682.25</c:v>
                </c:pt>
                <c:pt idx="124">
                  <c:v>688.43</c:v>
                </c:pt>
                <c:pt idx="125">
                  <c:v>683.55</c:v>
                </c:pt>
                <c:pt idx="126">
                  <c:v>689.94999999999993</c:v>
                </c:pt>
                <c:pt idx="127">
                  <c:v>682.65</c:v>
                </c:pt>
                <c:pt idx="128">
                  <c:v>667.83999999999992</c:v>
                </c:pt>
                <c:pt idx="129">
                  <c:v>682.09</c:v>
                </c:pt>
                <c:pt idx="130">
                  <c:v>683.43</c:v>
                </c:pt>
                <c:pt idx="131">
                  <c:v>684.39</c:v>
                </c:pt>
                <c:pt idx="132">
                  <c:v>688.34999999999991</c:v>
                </c:pt>
                <c:pt idx="133">
                  <c:v>684.5</c:v>
                </c:pt>
                <c:pt idx="134">
                  <c:v>683.66</c:v>
                </c:pt>
                <c:pt idx="135">
                  <c:v>682.8</c:v>
                </c:pt>
                <c:pt idx="136">
                  <c:v>697.18000000000006</c:v>
                </c:pt>
                <c:pt idx="137">
                  <c:v>694.26</c:v>
                </c:pt>
                <c:pt idx="138">
                  <c:v>694.87</c:v>
                </c:pt>
                <c:pt idx="139">
                  <c:v>689.04</c:v>
                </c:pt>
                <c:pt idx="140">
                  <c:v>688.06</c:v>
                </c:pt>
                <c:pt idx="141">
                  <c:v>674.25</c:v>
                </c:pt>
                <c:pt idx="142">
                  <c:v>676.57</c:v>
                </c:pt>
                <c:pt idx="143">
                  <c:v>683.23</c:v>
                </c:pt>
                <c:pt idx="144">
                  <c:v>683.31999999999994</c:v>
                </c:pt>
                <c:pt idx="145">
                  <c:v>688.16</c:v>
                </c:pt>
                <c:pt idx="146">
                  <c:v>686.83999999999992</c:v>
                </c:pt>
                <c:pt idx="147">
                  <c:v>687.09</c:v>
                </c:pt>
                <c:pt idx="148">
                  <c:v>696.79000000000008</c:v>
                </c:pt>
                <c:pt idx="149">
                  <c:v>698.93</c:v>
                </c:pt>
                <c:pt idx="150">
                  <c:v>697.73</c:v>
                </c:pt>
                <c:pt idx="151">
                  <c:v>697.93</c:v>
                </c:pt>
                <c:pt idx="152">
                  <c:v>689.53</c:v>
                </c:pt>
                <c:pt idx="153">
                  <c:v>699.25</c:v>
                </c:pt>
                <c:pt idx="154">
                  <c:v>695.45999999999992</c:v>
                </c:pt>
                <c:pt idx="155">
                  <c:v>700.11</c:v>
                </c:pt>
                <c:pt idx="156">
                  <c:v>712.31999999999994</c:v>
                </c:pt>
                <c:pt idx="157">
                  <c:v>707.3</c:v>
                </c:pt>
                <c:pt idx="158">
                  <c:v>704.84999999999991</c:v>
                </c:pt>
                <c:pt idx="159">
                  <c:v>719.64</c:v>
                </c:pt>
                <c:pt idx="160">
                  <c:v>723.99</c:v>
                </c:pt>
                <c:pt idx="161">
                  <c:v>715.81999999999994</c:v>
                </c:pt>
                <c:pt idx="162">
                  <c:v>711.91</c:v>
                </c:pt>
                <c:pt idx="163">
                  <c:v>705</c:v>
                </c:pt>
                <c:pt idx="164">
                  <c:v>710.31</c:v>
                </c:pt>
                <c:pt idx="165">
                  <c:v>704.05</c:v>
                </c:pt>
                <c:pt idx="166">
                  <c:v>708.67000000000007</c:v>
                </c:pt>
                <c:pt idx="167">
                  <c:v>702.81999999999994</c:v>
                </c:pt>
                <c:pt idx="168">
                  <c:v>706.73</c:v>
                </c:pt>
                <c:pt idx="169">
                  <c:v>697.51</c:v>
                </c:pt>
                <c:pt idx="170">
                  <c:v>706.31</c:v>
                </c:pt>
                <c:pt idx="171">
                  <c:v>703.48</c:v>
                </c:pt>
                <c:pt idx="172">
                  <c:v>707.7</c:v>
                </c:pt>
                <c:pt idx="173">
                  <c:v>711.02</c:v>
                </c:pt>
                <c:pt idx="174">
                  <c:v>718.28000000000009</c:v>
                </c:pt>
                <c:pt idx="175">
                  <c:v>722.04</c:v>
                </c:pt>
                <c:pt idx="176">
                  <c:v>722.48</c:v>
                </c:pt>
                <c:pt idx="177">
                  <c:v>713.82999999999993</c:v>
                </c:pt>
                <c:pt idx="178">
                  <c:v>707.52</c:v>
                </c:pt>
                <c:pt idx="179">
                  <c:v>707.83999999999992</c:v>
                </c:pt>
                <c:pt idx="180">
                  <c:v>719.02</c:v>
                </c:pt>
                <c:pt idx="181">
                  <c:v>718.23</c:v>
                </c:pt>
                <c:pt idx="182">
                  <c:v>715.16</c:v>
                </c:pt>
                <c:pt idx="183">
                  <c:v>715.74</c:v>
                </c:pt>
                <c:pt idx="184">
                  <c:v>717.6</c:v>
                </c:pt>
                <c:pt idx="185">
                  <c:v>721.2700000000001</c:v>
                </c:pt>
                <c:pt idx="186">
                  <c:v>733.02</c:v>
                </c:pt>
                <c:pt idx="187">
                  <c:v>748.03</c:v>
                </c:pt>
                <c:pt idx="188">
                  <c:v>766.5</c:v>
                </c:pt>
                <c:pt idx="189">
                  <c:v>771.55</c:v>
                </c:pt>
                <c:pt idx="190">
                  <c:v>793.59</c:v>
                </c:pt>
                <c:pt idx="191">
                  <c:v>794.29000000000008</c:v>
                </c:pt>
                <c:pt idx="192">
                  <c:v>793.5</c:v>
                </c:pt>
                <c:pt idx="193">
                  <c:v>804.81</c:v>
                </c:pt>
                <c:pt idx="194">
                  <c:v>790.02</c:v>
                </c:pt>
                <c:pt idx="195">
                  <c:v>814.97</c:v>
                </c:pt>
                <c:pt idx="196">
                  <c:v>804.13</c:v>
                </c:pt>
                <c:pt idx="197">
                  <c:v>789.99</c:v>
                </c:pt>
                <c:pt idx="198">
                  <c:v>777.48</c:v>
                </c:pt>
                <c:pt idx="199">
                  <c:v>775.19</c:v>
                </c:pt>
                <c:pt idx="200">
                  <c:v>790.02</c:v>
                </c:pt>
                <c:pt idx="201">
                  <c:v>780.22</c:v>
                </c:pt>
                <c:pt idx="202">
                  <c:v>795.03</c:v>
                </c:pt>
                <c:pt idx="203">
                  <c:v>783.74</c:v>
                </c:pt>
                <c:pt idx="204">
                  <c:v>800.59</c:v>
                </c:pt>
                <c:pt idx="205">
                  <c:v>797.7700000000001</c:v>
                </c:pt>
                <c:pt idx="206">
                  <c:v>793.11</c:v>
                </c:pt>
                <c:pt idx="207">
                  <c:v>783.56</c:v>
                </c:pt>
                <c:pt idx="208">
                  <c:v>778.31</c:v>
                </c:pt>
                <c:pt idx="209">
                  <c:v>783.33999999999992</c:v>
                </c:pt>
                <c:pt idx="210">
                  <c:v>769.04</c:v>
                </c:pt>
                <c:pt idx="211">
                  <c:v>769.7700000000001</c:v>
                </c:pt>
                <c:pt idx="212">
                  <c:v>767.73</c:v>
                </c:pt>
                <c:pt idx="213">
                  <c:v>764.31</c:v>
                </c:pt>
                <c:pt idx="214">
                  <c:v>770.99</c:v>
                </c:pt>
                <c:pt idx="215">
                  <c:v>775.92</c:v>
                </c:pt>
                <c:pt idx="216">
                  <c:v>783.92</c:v>
                </c:pt>
                <c:pt idx="217">
                  <c:v>792.11</c:v>
                </c:pt>
                <c:pt idx="218">
                  <c:v>802.91</c:v>
                </c:pt>
                <c:pt idx="219">
                  <c:v>807.73</c:v>
                </c:pt>
                <c:pt idx="220">
                  <c:v>798.93999999999994</c:v>
                </c:pt>
                <c:pt idx="221">
                  <c:v>788.76</c:v>
                </c:pt>
                <c:pt idx="222">
                  <c:v>783.31</c:v>
                </c:pt>
                <c:pt idx="223">
                  <c:v>786.21</c:v>
                </c:pt>
                <c:pt idx="224">
                  <c:v>776.37</c:v>
                </c:pt>
                <c:pt idx="225">
                  <c:v>765.59</c:v>
                </c:pt>
                <c:pt idx="226">
                  <c:v>768.57</c:v>
                </c:pt>
                <c:pt idx="227">
                  <c:v>770.47</c:v>
                </c:pt>
                <c:pt idx="228">
                  <c:v>777.26</c:v>
                </c:pt>
                <c:pt idx="229">
                  <c:v>751.8599999999999</c:v>
                </c:pt>
                <c:pt idx="230">
                  <c:v>756.74</c:v>
                </c:pt>
                <c:pt idx="231">
                  <c:v>776.9</c:v>
                </c:pt>
                <c:pt idx="232">
                  <c:v>772.34999999999991</c:v>
                </c:pt>
                <c:pt idx="233">
                  <c:v>769.76</c:v>
                </c:pt>
                <c:pt idx="234">
                  <c:v>768.12</c:v>
                </c:pt>
                <c:pt idx="235">
                  <c:v>765.55</c:v>
                </c:pt>
                <c:pt idx="236">
                  <c:v>772.21</c:v>
                </c:pt>
                <c:pt idx="237">
                  <c:v>774.04</c:v>
                </c:pt>
                <c:pt idx="238">
                  <c:v>765.34999999999991</c:v>
                </c:pt>
                <c:pt idx="239">
                  <c:v>754.48</c:v>
                </c:pt>
                <c:pt idx="240">
                  <c:v>751.6</c:v>
                </c:pt>
                <c:pt idx="241">
                  <c:v>763.71</c:v>
                </c:pt>
                <c:pt idx="242">
                  <c:v>760.84999999999991</c:v>
                </c:pt>
                <c:pt idx="243">
                  <c:v>762.34999999999991</c:v>
                </c:pt>
                <c:pt idx="244">
                  <c:v>766.55</c:v>
                </c:pt>
              </c:numCache>
            </c:numRef>
          </c:val>
          <c:smooth val="1"/>
        </c:ser>
        <c:ser>
          <c:idx val="1"/>
          <c:order val="1"/>
          <c:tx>
            <c:v>上证综指</c:v>
          </c:tx>
          <c:spPr>
            <a:ln w="25400">
              <a:solidFill>
                <a:srgbClr val="0000F0"/>
              </a:solidFill>
              <a:prstDash val="solid"/>
            </a:ln>
          </c:spPr>
          <c:marker>
            <c:symbol val="none"/>
          </c:marker>
          <c:cat>
            <c:numRef>
              <c:f>'保险Ⅱ(中信)'!$A$3:$A$247</c:f>
              <c:numCache>
                <c:formatCode>yyyy/m/d</c:formatCode>
                <c:ptCount val="245"/>
                <c:pt idx="0">
                  <c:v>41568</c:v>
                </c:pt>
                <c:pt idx="1">
                  <c:v>41569</c:v>
                </c:pt>
                <c:pt idx="2">
                  <c:v>41570</c:v>
                </c:pt>
                <c:pt idx="3">
                  <c:v>41571</c:v>
                </c:pt>
                <c:pt idx="4">
                  <c:v>41572</c:v>
                </c:pt>
                <c:pt idx="5">
                  <c:v>41575</c:v>
                </c:pt>
                <c:pt idx="6">
                  <c:v>41576</c:v>
                </c:pt>
                <c:pt idx="7">
                  <c:v>41577</c:v>
                </c:pt>
                <c:pt idx="8">
                  <c:v>41578</c:v>
                </c:pt>
                <c:pt idx="9">
                  <c:v>41579</c:v>
                </c:pt>
                <c:pt idx="10">
                  <c:v>41582</c:v>
                </c:pt>
                <c:pt idx="11">
                  <c:v>41583</c:v>
                </c:pt>
                <c:pt idx="12">
                  <c:v>41584</c:v>
                </c:pt>
                <c:pt idx="13">
                  <c:v>41585</c:v>
                </c:pt>
                <c:pt idx="14">
                  <c:v>41586</c:v>
                </c:pt>
                <c:pt idx="15">
                  <c:v>41589</c:v>
                </c:pt>
                <c:pt idx="16">
                  <c:v>41590</c:v>
                </c:pt>
                <c:pt idx="17">
                  <c:v>41591</c:v>
                </c:pt>
                <c:pt idx="18">
                  <c:v>41592</c:v>
                </c:pt>
                <c:pt idx="19">
                  <c:v>41593</c:v>
                </c:pt>
                <c:pt idx="20">
                  <c:v>41596</c:v>
                </c:pt>
                <c:pt idx="21">
                  <c:v>41597</c:v>
                </c:pt>
                <c:pt idx="22">
                  <c:v>41598</c:v>
                </c:pt>
                <c:pt idx="23">
                  <c:v>41599</c:v>
                </c:pt>
                <c:pt idx="24">
                  <c:v>41600</c:v>
                </c:pt>
                <c:pt idx="25">
                  <c:v>41603</c:v>
                </c:pt>
                <c:pt idx="26">
                  <c:v>41604</c:v>
                </c:pt>
                <c:pt idx="27">
                  <c:v>41605</c:v>
                </c:pt>
                <c:pt idx="28">
                  <c:v>41606</c:v>
                </c:pt>
                <c:pt idx="29">
                  <c:v>41607</c:v>
                </c:pt>
                <c:pt idx="30">
                  <c:v>41610</c:v>
                </c:pt>
                <c:pt idx="31">
                  <c:v>41611</c:v>
                </c:pt>
                <c:pt idx="32">
                  <c:v>41612</c:v>
                </c:pt>
                <c:pt idx="33">
                  <c:v>41613</c:v>
                </c:pt>
                <c:pt idx="34">
                  <c:v>41614</c:v>
                </c:pt>
                <c:pt idx="35">
                  <c:v>41617</c:v>
                </c:pt>
                <c:pt idx="36">
                  <c:v>41618</c:v>
                </c:pt>
                <c:pt idx="37">
                  <c:v>41619</c:v>
                </c:pt>
                <c:pt idx="38">
                  <c:v>41620</c:v>
                </c:pt>
                <c:pt idx="39">
                  <c:v>41621</c:v>
                </c:pt>
                <c:pt idx="40">
                  <c:v>41624</c:v>
                </c:pt>
                <c:pt idx="41">
                  <c:v>41625</c:v>
                </c:pt>
                <c:pt idx="42">
                  <c:v>41626</c:v>
                </c:pt>
                <c:pt idx="43">
                  <c:v>41627</c:v>
                </c:pt>
                <c:pt idx="44">
                  <c:v>41628</c:v>
                </c:pt>
                <c:pt idx="45">
                  <c:v>41631</c:v>
                </c:pt>
                <c:pt idx="46">
                  <c:v>41632</c:v>
                </c:pt>
                <c:pt idx="47">
                  <c:v>41633</c:v>
                </c:pt>
                <c:pt idx="48">
                  <c:v>41634</c:v>
                </c:pt>
                <c:pt idx="49">
                  <c:v>41635</c:v>
                </c:pt>
                <c:pt idx="50">
                  <c:v>41638</c:v>
                </c:pt>
                <c:pt idx="51">
                  <c:v>41639</c:v>
                </c:pt>
                <c:pt idx="52">
                  <c:v>41641</c:v>
                </c:pt>
                <c:pt idx="53">
                  <c:v>41642</c:v>
                </c:pt>
                <c:pt idx="54">
                  <c:v>41645</c:v>
                </c:pt>
                <c:pt idx="55">
                  <c:v>41646</c:v>
                </c:pt>
                <c:pt idx="56">
                  <c:v>41647</c:v>
                </c:pt>
                <c:pt idx="57">
                  <c:v>41648</c:v>
                </c:pt>
                <c:pt idx="58">
                  <c:v>41649</c:v>
                </c:pt>
                <c:pt idx="59">
                  <c:v>41652</c:v>
                </c:pt>
                <c:pt idx="60">
                  <c:v>41653</c:v>
                </c:pt>
                <c:pt idx="61">
                  <c:v>41654</c:v>
                </c:pt>
                <c:pt idx="62">
                  <c:v>41655</c:v>
                </c:pt>
                <c:pt idx="63">
                  <c:v>41656</c:v>
                </c:pt>
                <c:pt idx="64">
                  <c:v>41659</c:v>
                </c:pt>
                <c:pt idx="65">
                  <c:v>41660</c:v>
                </c:pt>
                <c:pt idx="66">
                  <c:v>41661</c:v>
                </c:pt>
                <c:pt idx="67">
                  <c:v>41662</c:v>
                </c:pt>
                <c:pt idx="68">
                  <c:v>41663</c:v>
                </c:pt>
                <c:pt idx="69">
                  <c:v>41666</c:v>
                </c:pt>
                <c:pt idx="70">
                  <c:v>41667</c:v>
                </c:pt>
                <c:pt idx="71">
                  <c:v>41668</c:v>
                </c:pt>
                <c:pt idx="72">
                  <c:v>41669</c:v>
                </c:pt>
                <c:pt idx="73">
                  <c:v>41677</c:v>
                </c:pt>
                <c:pt idx="74">
                  <c:v>41680</c:v>
                </c:pt>
                <c:pt idx="75">
                  <c:v>41681</c:v>
                </c:pt>
                <c:pt idx="76">
                  <c:v>41682</c:v>
                </c:pt>
                <c:pt idx="77">
                  <c:v>41683</c:v>
                </c:pt>
                <c:pt idx="78">
                  <c:v>41684</c:v>
                </c:pt>
                <c:pt idx="79">
                  <c:v>41687</c:v>
                </c:pt>
                <c:pt idx="80">
                  <c:v>41688</c:v>
                </c:pt>
                <c:pt idx="81">
                  <c:v>41689</c:v>
                </c:pt>
                <c:pt idx="82">
                  <c:v>41690</c:v>
                </c:pt>
                <c:pt idx="83">
                  <c:v>41691</c:v>
                </c:pt>
                <c:pt idx="84">
                  <c:v>41694</c:v>
                </c:pt>
                <c:pt idx="85">
                  <c:v>41695</c:v>
                </c:pt>
                <c:pt idx="86">
                  <c:v>41696</c:v>
                </c:pt>
                <c:pt idx="87">
                  <c:v>41697</c:v>
                </c:pt>
                <c:pt idx="88">
                  <c:v>41698</c:v>
                </c:pt>
                <c:pt idx="89">
                  <c:v>41701</c:v>
                </c:pt>
                <c:pt idx="90">
                  <c:v>41702</c:v>
                </c:pt>
                <c:pt idx="91">
                  <c:v>41703</c:v>
                </c:pt>
                <c:pt idx="92">
                  <c:v>41704</c:v>
                </c:pt>
                <c:pt idx="93">
                  <c:v>41705</c:v>
                </c:pt>
                <c:pt idx="94">
                  <c:v>41708</c:v>
                </c:pt>
                <c:pt idx="95">
                  <c:v>41709</c:v>
                </c:pt>
                <c:pt idx="96">
                  <c:v>41710</c:v>
                </c:pt>
                <c:pt idx="97">
                  <c:v>41711</c:v>
                </c:pt>
                <c:pt idx="98">
                  <c:v>41712</c:v>
                </c:pt>
                <c:pt idx="99">
                  <c:v>41715</c:v>
                </c:pt>
                <c:pt idx="100">
                  <c:v>41716</c:v>
                </c:pt>
                <c:pt idx="101">
                  <c:v>41717</c:v>
                </c:pt>
                <c:pt idx="102">
                  <c:v>41718</c:v>
                </c:pt>
                <c:pt idx="103">
                  <c:v>41719</c:v>
                </c:pt>
                <c:pt idx="104">
                  <c:v>41722</c:v>
                </c:pt>
                <c:pt idx="105">
                  <c:v>41723</c:v>
                </c:pt>
                <c:pt idx="106">
                  <c:v>41724</c:v>
                </c:pt>
                <c:pt idx="107">
                  <c:v>41725</c:v>
                </c:pt>
                <c:pt idx="108">
                  <c:v>41726</c:v>
                </c:pt>
                <c:pt idx="109">
                  <c:v>41729</c:v>
                </c:pt>
                <c:pt idx="110">
                  <c:v>41730</c:v>
                </c:pt>
                <c:pt idx="111">
                  <c:v>41731</c:v>
                </c:pt>
                <c:pt idx="112">
                  <c:v>41732</c:v>
                </c:pt>
                <c:pt idx="113">
                  <c:v>41733</c:v>
                </c:pt>
                <c:pt idx="114">
                  <c:v>41737</c:v>
                </c:pt>
                <c:pt idx="115">
                  <c:v>41738</c:v>
                </c:pt>
                <c:pt idx="116">
                  <c:v>41739</c:v>
                </c:pt>
                <c:pt idx="117">
                  <c:v>41740</c:v>
                </c:pt>
                <c:pt idx="118">
                  <c:v>41743</c:v>
                </c:pt>
                <c:pt idx="119">
                  <c:v>41744</c:v>
                </c:pt>
                <c:pt idx="120">
                  <c:v>41745</c:v>
                </c:pt>
                <c:pt idx="121">
                  <c:v>41746</c:v>
                </c:pt>
                <c:pt idx="122">
                  <c:v>41747</c:v>
                </c:pt>
                <c:pt idx="123">
                  <c:v>41750</c:v>
                </c:pt>
                <c:pt idx="124">
                  <c:v>41751</c:v>
                </c:pt>
                <c:pt idx="125">
                  <c:v>41752</c:v>
                </c:pt>
                <c:pt idx="126">
                  <c:v>41753</c:v>
                </c:pt>
                <c:pt idx="127">
                  <c:v>41754</c:v>
                </c:pt>
                <c:pt idx="128">
                  <c:v>41757</c:v>
                </c:pt>
                <c:pt idx="129">
                  <c:v>41758</c:v>
                </c:pt>
                <c:pt idx="130">
                  <c:v>41759</c:v>
                </c:pt>
                <c:pt idx="131">
                  <c:v>41764</c:v>
                </c:pt>
                <c:pt idx="132">
                  <c:v>41765</c:v>
                </c:pt>
                <c:pt idx="133">
                  <c:v>41766</c:v>
                </c:pt>
                <c:pt idx="134">
                  <c:v>41767</c:v>
                </c:pt>
                <c:pt idx="135">
                  <c:v>41768</c:v>
                </c:pt>
                <c:pt idx="136">
                  <c:v>41771</c:v>
                </c:pt>
                <c:pt idx="137">
                  <c:v>41772</c:v>
                </c:pt>
                <c:pt idx="138">
                  <c:v>41773</c:v>
                </c:pt>
                <c:pt idx="139">
                  <c:v>41774</c:v>
                </c:pt>
                <c:pt idx="140">
                  <c:v>41775</c:v>
                </c:pt>
                <c:pt idx="141">
                  <c:v>41778</c:v>
                </c:pt>
                <c:pt idx="142">
                  <c:v>41779</c:v>
                </c:pt>
                <c:pt idx="143">
                  <c:v>41780</c:v>
                </c:pt>
                <c:pt idx="144">
                  <c:v>41781</c:v>
                </c:pt>
                <c:pt idx="145">
                  <c:v>41782</c:v>
                </c:pt>
                <c:pt idx="146">
                  <c:v>41785</c:v>
                </c:pt>
                <c:pt idx="147">
                  <c:v>41786</c:v>
                </c:pt>
                <c:pt idx="148">
                  <c:v>41787</c:v>
                </c:pt>
                <c:pt idx="149">
                  <c:v>41788</c:v>
                </c:pt>
                <c:pt idx="150">
                  <c:v>41789</c:v>
                </c:pt>
                <c:pt idx="151">
                  <c:v>41793</c:v>
                </c:pt>
                <c:pt idx="152">
                  <c:v>41794</c:v>
                </c:pt>
                <c:pt idx="153">
                  <c:v>41795</c:v>
                </c:pt>
                <c:pt idx="154">
                  <c:v>41796</c:v>
                </c:pt>
                <c:pt idx="155">
                  <c:v>41799</c:v>
                </c:pt>
                <c:pt idx="156">
                  <c:v>41800</c:v>
                </c:pt>
                <c:pt idx="157">
                  <c:v>41801</c:v>
                </c:pt>
                <c:pt idx="158">
                  <c:v>41802</c:v>
                </c:pt>
                <c:pt idx="159">
                  <c:v>41803</c:v>
                </c:pt>
                <c:pt idx="160">
                  <c:v>41806</c:v>
                </c:pt>
                <c:pt idx="161">
                  <c:v>41807</c:v>
                </c:pt>
                <c:pt idx="162">
                  <c:v>41808</c:v>
                </c:pt>
                <c:pt idx="163">
                  <c:v>41809</c:v>
                </c:pt>
                <c:pt idx="164">
                  <c:v>41810</c:v>
                </c:pt>
                <c:pt idx="165">
                  <c:v>41813</c:v>
                </c:pt>
                <c:pt idx="166">
                  <c:v>41814</c:v>
                </c:pt>
                <c:pt idx="167">
                  <c:v>41815</c:v>
                </c:pt>
                <c:pt idx="168">
                  <c:v>41816</c:v>
                </c:pt>
                <c:pt idx="169">
                  <c:v>41817</c:v>
                </c:pt>
                <c:pt idx="170">
                  <c:v>41820</c:v>
                </c:pt>
                <c:pt idx="171">
                  <c:v>41821</c:v>
                </c:pt>
                <c:pt idx="172">
                  <c:v>41822</c:v>
                </c:pt>
                <c:pt idx="173">
                  <c:v>41823</c:v>
                </c:pt>
                <c:pt idx="174">
                  <c:v>41824</c:v>
                </c:pt>
                <c:pt idx="175">
                  <c:v>41827</c:v>
                </c:pt>
                <c:pt idx="176">
                  <c:v>41828</c:v>
                </c:pt>
                <c:pt idx="177">
                  <c:v>41829</c:v>
                </c:pt>
                <c:pt idx="178">
                  <c:v>41830</c:v>
                </c:pt>
                <c:pt idx="179">
                  <c:v>41831</c:v>
                </c:pt>
                <c:pt idx="180">
                  <c:v>41834</c:v>
                </c:pt>
                <c:pt idx="181">
                  <c:v>41835</c:v>
                </c:pt>
                <c:pt idx="182">
                  <c:v>41836</c:v>
                </c:pt>
                <c:pt idx="183">
                  <c:v>41837</c:v>
                </c:pt>
                <c:pt idx="184">
                  <c:v>41838</c:v>
                </c:pt>
                <c:pt idx="185">
                  <c:v>41841</c:v>
                </c:pt>
                <c:pt idx="186">
                  <c:v>41842</c:v>
                </c:pt>
                <c:pt idx="187">
                  <c:v>41843</c:v>
                </c:pt>
                <c:pt idx="188">
                  <c:v>41844</c:v>
                </c:pt>
                <c:pt idx="189">
                  <c:v>41845</c:v>
                </c:pt>
                <c:pt idx="190">
                  <c:v>41848</c:v>
                </c:pt>
                <c:pt idx="191">
                  <c:v>41849</c:v>
                </c:pt>
                <c:pt idx="192">
                  <c:v>41850</c:v>
                </c:pt>
                <c:pt idx="193">
                  <c:v>41851</c:v>
                </c:pt>
                <c:pt idx="194">
                  <c:v>41852</c:v>
                </c:pt>
                <c:pt idx="195">
                  <c:v>41855</c:v>
                </c:pt>
                <c:pt idx="196">
                  <c:v>41856</c:v>
                </c:pt>
                <c:pt idx="197">
                  <c:v>41857</c:v>
                </c:pt>
                <c:pt idx="198">
                  <c:v>41858</c:v>
                </c:pt>
                <c:pt idx="199">
                  <c:v>41859</c:v>
                </c:pt>
                <c:pt idx="200">
                  <c:v>41862</c:v>
                </c:pt>
                <c:pt idx="201">
                  <c:v>41863</c:v>
                </c:pt>
                <c:pt idx="202">
                  <c:v>41864</c:v>
                </c:pt>
                <c:pt idx="203">
                  <c:v>41865</c:v>
                </c:pt>
                <c:pt idx="204">
                  <c:v>41866</c:v>
                </c:pt>
                <c:pt idx="205">
                  <c:v>41869</c:v>
                </c:pt>
                <c:pt idx="206">
                  <c:v>41870</c:v>
                </c:pt>
                <c:pt idx="207">
                  <c:v>41871</c:v>
                </c:pt>
                <c:pt idx="208">
                  <c:v>41872</c:v>
                </c:pt>
                <c:pt idx="209">
                  <c:v>41873</c:v>
                </c:pt>
                <c:pt idx="210">
                  <c:v>41876</c:v>
                </c:pt>
                <c:pt idx="211">
                  <c:v>41877</c:v>
                </c:pt>
                <c:pt idx="212">
                  <c:v>41878</c:v>
                </c:pt>
                <c:pt idx="213">
                  <c:v>41879</c:v>
                </c:pt>
                <c:pt idx="214">
                  <c:v>41880</c:v>
                </c:pt>
                <c:pt idx="215">
                  <c:v>41883</c:v>
                </c:pt>
                <c:pt idx="216">
                  <c:v>41884</c:v>
                </c:pt>
                <c:pt idx="217">
                  <c:v>41885</c:v>
                </c:pt>
                <c:pt idx="218">
                  <c:v>41886</c:v>
                </c:pt>
                <c:pt idx="219">
                  <c:v>41887</c:v>
                </c:pt>
                <c:pt idx="220">
                  <c:v>41891</c:v>
                </c:pt>
                <c:pt idx="221">
                  <c:v>41892</c:v>
                </c:pt>
                <c:pt idx="222">
                  <c:v>41893</c:v>
                </c:pt>
                <c:pt idx="223">
                  <c:v>41894</c:v>
                </c:pt>
                <c:pt idx="224">
                  <c:v>41897</c:v>
                </c:pt>
                <c:pt idx="225">
                  <c:v>41898</c:v>
                </c:pt>
                <c:pt idx="226">
                  <c:v>41899</c:v>
                </c:pt>
                <c:pt idx="227">
                  <c:v>41900</c:v>
                </c:pt>
                <c:pt idx="228">
                  <c:v>41901</c:v>
                </c:pt>
                <c:pt idx="229">
                  <c:v>41904</c:v>
                </c:pt>
                <c:pt idx="230">
                  <c:v>41905</c:v>
                </c:pt>
                <c:pt idx="231">
                  <c:v>41906</c:v>
                </c:pt>
                <c:pt idx="232">
                  <c:v>41907</c:v>
                </c:pt>
                <c:pt idx="233">
                  <c:v>41908</c:v>
                </c:pt>
                <c:pt idx="234">
                  <c:v>41911</c:v>
                </c:pt>
                <c:pt idx="235">
                  <c:v>41912</c:v>
                </c:pt>
                <c:pt idx="236">
                  <c:v>41920</c:v>
                </c:pt>
                <c:pt idx="237">
                  <c:v>41921</c:v>
                </c:pt>
                <c:pt idx="238">
                  <c:v>41922</c:v>
                </c:pt>
                <c:pt idx="239">
                  <c:v>41925</c:v>
                </c:pt>
                <c:pt idx="240">
                  <c:v>41926</c:v>
                </c:pt>
                <c:pt idx="241">
                  <c:v>41927</c:v>
                </c:pt>
                <c:pt idx="242">
                  <c:v>41928</c:v>
                </c:pt>
                <c:pt idx="243">
                  <c:v>41929</c:v>
                </c:pt>
                <c:pt idx="244">
                  <c:v>41932</c:v>
                </c:pt>
              </c:numCache>
            </c:numRef>
          </c:cat>
          <c:val>
            <c:numRef>
              <c:f>'保险Ⅱ(中信)'!$C$3:$C$247</c:f>
              <c:numCache>
                <c:formatCode>General</c:formatCode>
                <c:ptCount val="245"/>
                <c:pt idx="0">
                  <c:v>667.18000000000006</c:v>
                </c:pt>
                <c:pt idx="1">
                  <c:v>661.62</c:v>
                </c:pt>
                <c:pt idx="2">
                  <c:v>653.37</c:v>
                </c:pt>
                <c:pt idx="3">
                  <c:v>647.75</c:v>
                </c:pt>
                <c:pt idx="4">
                  <c:v>638.3599999999999</c:v>
                </c:pt>
                <c:pt idx="5">
                  <c:v>638.64</c:v>
                </c:pt>
                <c:pt idx="6">
                  <c:v>637.14</c:v>
                </c:pt>
                <c:pt idx="7">
                  <c:v>646.6</c:v>
                </c:pt>
                <c:pt idx="8">
                  <c:v>640.94999999999993</c:v>
                </c:pt>
                <c:pt idx="9">
                  <c:v>643.32999999999993</c:v>
                </c:pt>
                <c:pt idx="10">
                  <c:v>643.34999999999991</c:v>
                </c:pt>
                <c:pt idx="11">
                  <c:v>645.63</c:v>
                </c:pt>
                <c:pt idx="12">
                  <c:v>640.3599999999999</c:v>
                </c:pt>
                <c:pt idx="13">
                  <c:v>637.29999999999995</c:v>
                </c:pt>
                <c:pt idx="14">
                  <c:v>630.32999999999993</c:v>
                </c:pt>
                <c:pt idx="15">
                  <c:v>631.32999999999993</c:v>
                </c:pt>
                <c:pt idx="16">
                  <c:v>636.51</c:v>
                </c:pt>
                <c:pt idx="17">
                  <c:v>624.89</c:v>
                </c:pt>
                <c:pt idx="18">
                  <c:v>628.65</c:v>
                </c:pt>
                <c:pt idx="19">
                  <c:v>639.22</c:v>
                </c:pt>
                <c:pt idx="20">
                  <c:v>657.6</c:v>
                </c:pt>
                <c:pt idx="21">
                  <c:v>656.37</c:v>
                </c:pt>
                <c:pt idx="22">
                  <c:v>660.41</c:v>
                </c:pt>
                <c:pt idx="23">
                  <c:v>660.16</c:v>
                </c:pt>
                <c:pt idx="24">
                  <c:v>657.34999999999991</c:v>
                </c:pt>
                <c:pt idx="25">
                  <c:v>654.2700000000001</c:v>
                </c:pt>
                <c:pt idx="26">
                  <c:v>653.3599999999999</c:v>
                </c:pt>
                <c:pt idx="27">
                  <c:v>658.75</c:v>
                </c:pt>
                <c:pt idx="28">
                  <c:v>664.23</c:v>
                </c:pt>
                <c:pt idx="29">
                  <c:v>664.56</c:v>
                </c:pt>
                <c:pt idx="30">
                  <c:v>660.63</c:v>
                </c:pt>
                <c:pt idx="31">
                  <c:v>665.21</c:v>
                </c:pt>
                <c:pt idx="32">
                  <c:v>673.92</c:v>
                </c:pt>
                <c:pt idx="33">
                  <c:v>672.51</c:v>
                </c:pt>
                <c:pt idx="34">
                  <c:v>669.54</c:v>
                </c:pt>
                <c:pt idx="35">
                  <c:v>669.8599999999999</c:v>
                </c:pt>
                <c:pt idx="36">
                  <c:v>669.65</c:v>
                </c:pt>
                <c:pt idx="37">
                  <c:v>659.68000000000006</c:v>
                </c:pt>
                <c:pt idx="38">
                  <c:v>659.2700000000001</c:v>
                </c:pt>
                <c:pt idx="39">
                  <c:v>657.25</c:v>
                </c:pt>
                <c:pt idx="40">
                  <c:v>646.71</c:v>
                </c:pt>
                <c:pt idx="41">
                  <c:v>643.79000000000008</c:v>
                </c:pt>
                <c:pt idx="42">
                  <c:v>642.94999999999993</c:v>
                </c:pt>
                <c:pt idx="43">
                  <c:v>636.81999999999994</c:v>
                </c:pt>
                <c:pt idx="44">
                  <c:v>623.94999999999993</c:v>
                </c:pt>
                <c:pt idx="45">
                  <c:v>625.41999999999996</c:v>
                </c:pt>
                <c:pt idx="46">
                  <c:v>626.38</c:v>
                </c:pt>
                <c:pt idx="47">
                  <c:v>630.4</c:v>
                </c:pt>
                <c:pt idx="48">
                  <c:v>620.44999999999993</c:v>
                </c:pt>
                <c:pt idx="49">
                  <c:v>628.87</c:v>
                </c:pt>
                <c:pt idx="50">
                  <c:v>627.76</c:v>
                </c:pt>
                <c:pt idx="51">
                  <c:v>633.28000000000009</c:v>
                </c:pt>
                <c:pt idx="52">
                  <c:v>631.30999999999983</c:v>
                </c:pt>
                <c:pt idx="53">
                  <c:v>623.44999999999993</c:v>
                </c:pt>
                <c:pt idx="54">
                  <c:v>612.25</c:v>
                </c:pt>
                <c:pt idx="55">
                  <c:v>612.73</c:v>
                </c:pt>
                <c:pt idx="56">
                  <c:v>611.83999999999992</c:v>
                </c:pt>
                <c:pt idx="57">
                  <c:v>606.83999999999992</c:v>
                </c:pt>
                <c:pt idx="58">
                  <c:v>602.54999999999984</c:v>
                </c:pt>
                <c:pt idx="59">
                  <c:v>601.42999999999984</c:v>
                </c:pt>
                <c:pt idx="60">
                  <c:v>606.6</c:v>
                </c:pt>
                <c:pt idx="61">
                  <c:v>605.55999999999983</c:v>
                </c:pt>
                <c:pt idx="62">
                  <c:v>605.66</c:v>
                </c:pt>
                <c:pt idx="63">
                  <c:v>600.04999999999984</c:v>
                </c:pt>
                <c:pt idx="64">
                  <c:v>595.94999999999993</c:v>
                </c:pt>
                <c:pt idx="65">
                  <c:v>601.05999999999983</c:v>
                </c:pt>
                <c:pt idx="66">
                  <c:v>614.05999999999983</c:v>
                </c:pt>
                <c:pt idx="67">
                  <c:v>611.20000000000005</c:v>
                </c:pt>
                <c:pt idx="68">
                  <c:v>614.84999999999991</c:v>
                </c:pt>
                <c:pt idx="69">
                  <c:v>608.54</c:v>
                </c:pt>
                <c:pt idx="70">
                  <c:v>610.1</c:v>
                </c:pt>
                <c:pt idx="71">
                  <c:v>613.51</c:v>
                </c:pt>
                <c:pt idx="72">
                  <c:v>608.47</c:v>
                </c:pt>
                <c:pt idx="73">
                  <c:v>611.89</c:v>
                </c:pt>
                <c:pt idx="74">
                  <c:v>624.32999999999993</c:v>
                </c:pt>
                <c:pt idx="75">
                  <c:v>629.6</c:v>
                </c:pt>
                <c:pt idx="76">
                  <c:v>631.48</c:v>
                </c:pt>
                <c:pt idx="77">
                  <c:v>628.02</c:v>
                </c:pt>
                <c:pt idx="78">
                  <c:v>633.24</c:v>
                </c:pt>
                <c:pt idx="79">
                  <c:v>639.1</c:v>
                </c:pt>
                <c:pt idx="80">
                  <c:v>634.21</c:v>
                </c:pt>
                <c:pt idx="81">
                  <c:v>641.23</c:v>
                </c:pt>
                <c:pt idx="82">
                  <c:v>640.11</c:v>
                </c:pt>
                <c:pt idx="83">
                  <c:v>632.6</c:v>
                </c:pt>
                <c:pt idx="84">
                  <c:v>621.52</c:v>
                </c:pt>
                <c:pt idx="85">
                  <c:v>608.80999999999983</c:v>
                </c:pt>
                <c:pt idx="86">
                  <c:v>610.91999999999996</c:v>
                </c:pt>
                <c:pt idx="87">
                  <c:v>612.74</c:v>
                </c:pt>
                <c:pt idx="88">
                  <c:v>615.41999999999996</c:v>
                </c:pt>
                <c:pt idx="89">
                  <c:v>621.09</c:v>
                </c:pt>
                <c:pt idx="90">
                  <c:v>619.95999999999992</c:v>
                </c:pt>
                <c:pt idx="91">
                  <c:v>614.45999999999992</c:v>
                </c:pt>
                <c:pt idx="92">
                  <c:v>616.4</c:v>
                </c:pt>
                <c:pt idx="93">
                  <c:v>615.9</c:v>
                </c:pt>
                <c:pt idx="94">
                  <c:v>598.29000000000008</c:v>
                </c:pt>
                <c:pt idx="95">
                  <c:v>598.91999999999996</c:v>
                </c:pt>
                <c:pt idx="96">
                  <c:v>597.88</c:v>
                </c:pt>
                <c:pt idx="97">
                  <c:v>604.29000000000008</c:v>
                </c:pt>
                <c:pt idx="98">
                  <c:v>599.87</c:v>
                </c:pt>
                <c:pt idx="99">
                  <c:v>605.66</c:v>
                </c:pt>
                <c:pt idx="100">
                  <c:v>606.11</c:v>
                </c:pt>
                <c:pt idx="101">
                  <c:v>605.08000000000004</c:v>
                </c:pt>
                <c:pt idx="102">
                  <c:v>596.62</c:v>
                </c:pt>
                <c:pt idx="103">
                  <c:v>612.81999999999994</c:v>
                </c:pt>
                <c:pt idx="104">
                  <c:v>618.41</c:v>
                </c:pt>
                <c:pt idx="105">
                  <c:v>618.72</c:v>
                </c:pt>
                <c:pt idx="106">
                  <c:v>617.63</c:v>
                </c:pt>
                <c:pt idx="107">
                  <c:v>612.52</c:v>
                </c:pt>
                <c:pt idx="108">
                  <c:v>611.04999999999984</c:v>
                </c:pt>
                <c:pt idx="109">
                  <c:v>608.54</c:v>
                </c:pt>
                <c:pt idx="110">
                  <c:v>612.78000000000009</c:v>
                </c:pt>
                <c:pt idx="111">
                  <c:v>616.23</c:v>
                </c:pt>
                <c:pt idx="112">
                  <c:v>611.65</c:v>
                </c:pt>
                <c:pt idx="113">
                  <c:v>616.17999999999995</c:v>
                </c:pt>
                <c:pt idx="114">
                  <c:v>627.99</c:v>
                </c:pt>
                <c:pt idx="115">
                  <c:v>630.07000000000005</c:v>
                </c:pt>
                <c:pt idx="116">
                  <c:v>638.7700000000001</c:v>
                </c:pt>
                <c:pt idx="117">
                  <c:v>637.64</c:v>
                </c:pt>
                <c:pt idx="118">
                  <c:v>637.93999999999994</c:v>
                </c:pt>
                <c:pt idx="119">
                  <c:v>628.98</c:v>
                </c:pt>
                <c:pt idx="120">
                  <c:v>630.03</c:v>
                </c:pt>
                <c:pt idx="121">
                  <c:v>628.16999999999996</c:v>
                </c:pt>
                <c:pt idx="122">
                  <c:v>627.82999999999993</c:v>
                </c:pt>
                <c:pt idx="123">
                  <c:v>618.2700000000001</c:v>
                </c:pt>
                <c:pt idx="124">
                  <c:v>620.37</c:v>
                </c:pt>
                <c:pt idx="125">
                  <c:v>618.74</c:v>
                </c:pt>
                <c:pt idx="126">
                  <c:v>615.64</c:v>
                </c:pt>
                <c:pt idx="127">
                  <c:v>609.5</c:v>
                </c:pt>
                <c:pt idx="128">
                  <c:v>599.62</c:v>
                </c:pt>
                <c:pt idx="129">
                  <c:v>604.66</c:v>
                </c:pt>
                <c:pt idx="130">
                  <c:v>606.45999999999992</c:v>
                </c:pt>
                <c:pt idx="131">
                  <c:v>606.76</c:v>
                </c:pt>
                <c:pt idx="132">
                  <c:v>606.95999999999992</c:v>
                </c:pt>
                <c:pt idx="133">
                  <c:v>601.59</c:v>
                </c:pt>
                <c:pt idx="134">
                  <c:v>603.14</c:v>
                </c:pt>
                <c:pt idx="135">
                  <c:v>601.91</c:v>
                </c:pt>
                <c:pt idx="136">
                  <c:v>614.39</c:v>
                </c:pt>
                <c:pt idx="137">
                  <c:v>613.75</c:v>
                </c:pt>
                <c:pt idx="138">
                  <c:v>612.91</c:v>
                </c:pt>
                <c:pt idx="139">
                  <c:v>606.04</c:v>
                </c:pt>
                <c:pt idx="140">
                  <c:v>606.5</c:v>
                </c:pt>
                <c:pt idx="141">
                  <c:v>600.12</c:v>
                </c:pt>
                <c:pt idx="142">
                  <c:v>601</c:v>
                </c:pt>
                <c:pt idx="143">
                  <c:v>606.04</c:v>
                </c:pt>
                <c:pt idx="144">
                  <c:v>604.93999999999994</c:v>
                </c:pt>
                <c:pt idx="145">
                  <c:v>608.91999999999996</c:v>
                </c:pt>
                <c:pt idx="146">
                  <c:v>610.99</c:v>
                </c:pt>
                <c:pt idx="147">
                  <c:v>608.91999999999996</c:v>
                </c:pt>
                <c:pt idx="148">
                  <c:v>613.6</c:v>
                </c:pt>
                <c:pt idx="149">
                  <c:v>610.72</c:v>
                </c:pt>
                <c:pt idx="150">
                  <c:v>610.30999999999983</c:v>
                </c:pt>
                <c:pt idx="151">
                  <c:v>610.04</c:v>
                </c:pt>
                <c:pt idx="152">
                  <c:v>606</c:v>
                </c:pt>
                <c:pt idx="153">
                  <c:v>610.80999999999983</c:v>
                </c:pt>
                <c:pt idx="154">
                  <c:v>607.54</c:v>
                </c:pt>
                <c:pt idx="155">
                  <c:v>607.70000000000005</c:v>
                </c:pt>
                <c:pt idx="156">
                  <c:v>614.29000000000008</c:v>
                </c:pt>
                <c:pt idx="157">
                  <c:v>615.02</c:v>
                </c:pt>
                <c:pt idx="158">
                  <c:v>614.04999999999984</c:v>
                </c:pt>
                <c:pt idx="159">
                  <c:v>619.74</c:v>
                </c:pt>
                <c:pt idx="160">
                  <c:v>624.29999999999995</c:v>
                </c:pt>
                <c:pt idx="161">
                  <c:v>618.53</c:v>
                </c:pt>
                <c:pt idx="162">
                  <c:v>615.19000000000005</c:v>
                </c:pt>
                <c:pt idx="163">
                  <c:v>605.67999999999995</c:v>
                </c:pt>
                <c:pt idx="164">
                  <c:v>606.54999999999984</c:v>
                </c:pt>
                <c:pt idx="165">
                  <c:v>605.87</c:v>
                </c:pt>
                <c:pt idx="166">
                  <c:v>608.73</c:v>
                </c:pt>
                <c:pt idx="167">
                  <c:v>606.20000000000005</c:v>
                </c:pt>
                <c:pt idx="168">
                  <c:v>610.15</c:v>
                </c:pt>
                <c:pt idx="169">
                  <c:v>609.5</c:v>
                </c:pt>
                <c:pt idx="170">
                  <c:v>613.04</c:v>
                </c:pt>
                <c:pt idx="171">
                  <c:v>613.65</c:v>
                </c:pt>
                <c:pt idx="172">
                  <c:v>616.3599999999999</c:v>
                </c:pt>
                <c:pt idx="173">
                  <c:v>617.5</c:v>
                </c:pt>
                <c:pt idx="174">
                  <c:v>616.33999999999992</c:v>
                </c:pt>
                <c:pt idx="175">
                  <c:v>616.51</c:v>
                </c:pt>
                <c:pt idx="176">
                  <c:v>617.73</c:v>
                </c:pt>
                <c:pt idx="177">
                  <c:v>610.13</c:v>
                </c:pt>
                <c:pt idx="178">
                  <c:v>610.04999999999984</c:v>
                </c:pt>
                <c:pt idx="179">
                  <c:v>612.63</c:v>
                </c:pt>
                <c:pt idx="180">
                  <c:v>618.52</c:v>
                </c:pt>
                <c:pt idx="181">
                  <c:v>619.63</c:v>
                </c:pt>
                <c:pt idx="182">
                  <c:v>618.71</c:v>
                </c:pt>
                <c:pt idx="183">
                  <c:v>615.21</c:v>
                </c:pt>
                <c:pt idx="184">
                  <c:v>616.25</c:v>
                </c:pt>
                <c:pt idx="185">
                  <c:v>614.88</c:v>
                </c:pt>
                <c:pt idx="186">
                  <c:v>621.16</c:v>
                </c:pt>
                <c:pt idx="187">
                  <c:v>622.05999999999983</c:v>
                </c:pt>
                <c:pt idx="188">
                  <c:v>630.01</c:v>
                </c:pt>
                <c:pt idx="189">
                  <c:v>636.45999999999992</c:v>
                </c:pt>
                <c:pt idx="190">
                  <c:v>651.82999999999993</c:v>
                </c:pt>
                <c:pt idx="191">
                  <c:v>653.4</c:v>
                </c:pt>
                <c:pt idx="192">
                  <c:v>652.80999999999983</c:v>
                </c:pt>
                <c:pt idx="193">
                  <c:v>658.9</c:v>
                </c:pt>
                <c:pt idx="194">
                  <c:v>654.03</c:v>
                </c:pt>
                <c:pt idx="195">
                  <c:v>665.41</c:v>
                </c:pt>
                <c:pt idx="196">
                  <c:v>664.4</c:v>
                </c:pt>
                <c:pt idx="197">
                  <c:v>663.66</c:v>
                </c:pt>
                <c:pt idx="198">
                  <c:v>654.74</c:v>
                </c:pt>
                <c:pt idx="199">
                  <c:v>656.76</c:v>
                </c:pt>
                <c:pt idx="200">
                  <c:v>665.81</c:v>
                </c:pt>
                <c:pt idx="201">
                  <c:v>664.89</c:v>
                </c:pt>
                <c:pt idx="202">
                  <c:v>665.28000000000009</c:v>
                </c:pt>
                <c:pt idx="203">
                  <c:v>660.37</c:v>
                </c:pt>
                <c:pt idx="204">
                  <c:v>666.43</c:v>
                </c:pt>
                <c:pt idx="205">
                  <c:v>670.24</c:v>
                </c:pt>
                <c:pt idx="206">
                  <c:v>672</c:v>
                </c:pt>
                <c:pt idx="207">
                  <c:v>670.45999999999992</c:v>
                </c:pt>
                <c:pt idx="208">
                  <c:v>667.55</c:v>
                </c:pt>
                <c:pt idx="209">
                  <c:v>670.64</c:v>
                </c:pt>
                <c:pt idx="210">
                  <c:v>667.19</c:v>
                </c:pt>
                <c:pt idx="211">
                  <c:v>660.56</c:v>
                </c:pt>
                <c:pt idx="212">
                  <c:v>661.26</c:v>
                </c:pt>
                <c:pt idx="213">
                  <c:v>657.18000000000006</c:v>
                </c:pt>
                <c:pt idx="214">
                  <c:v>663.58</c:v>
                </c:pt>
                <c:pt idx="215">
                  <c:v>669.06</c:v>
                </c:pt>
                <c:pt idx="216">
                  <c:v>678.2</c:v>
                </c:pt>
                <c:pt idx="217">
                  <c:v>684.94999999999993</c:v>
                </c:pt>
                <c:pt idx="218">
                  <c:v>690.41</c:v>
                </c:pt>
                <c:pt idx="219">
                  <c:v>696.2700000000001</c:v>
                </c:pt>
                <c:pt idx="220">
                  <c:v>696.3</c:v>
                </c:pt>
                <c:pt idx="221">
                  <c:v>693.82999999999993</c:v>
                </c:pt>
                <c:pt idx="222">
                  <c:v>691.84999999999991</c:v>
                </c:pt>
                <c:pt idx="223">
                  <c:v>697.92</c:v>
                </c:pt>
                <c:pt idx="224">
                  <c:v>700.07</c:v>
                </c:pt>
                <c:pt idx="225">
                  <c:v>687.31999999999994</c:v>
                </c:pt>
                <c:pt idx="226">
                  <c:v>690.72</c:v>
                </c:pt>
                <c:pt idx="227">
                  <c:v>693.13</c:v>
                </c:pt>
                <c:pt idx="228">
                  <c:v>697.17000000000007</c:v>
                </c:pt>
                <c:pt idx="229">
                  <c:v>685.32999999999993</c:v>
                </c:pt>
                <c:pt idx="230">
                  <c:v>691.2700000000001</c:v>
                </c:pt>
                <c:pt idx="231">
                  <c:v>701.4</c:v>
                </c:pt>
                <c:pt idx="232">
                  <c:v>701.8599999999999</c:v>
                </c:pt>
                <c:pt idx="233">
                  <c:v>702.64</c:v>
                </c:pt>
                <c:pt idx="234">
                  <c:v>705.63</c:v>
                </c:pt>
                <c:pt idx="235">
                  <c:v>707.47</c:v>
                </c:pt>
                <c:pt idx="236">
                  <c:v>713.14</c:v>
                </c:pt>
                <c:pt idx="237">
                  <c:v>715.1</c:v>
                </c:pt>
                <c:pt idx="238">
                  <c:v>710.67000000000007</c:v>
                </c:pt>
                <c:pt idx="239">
                  <c:v>708.11</c:v>
                </c:pt>
                <c:pt idx="240">
                  <c:v>706.16</c:v>
                </c:pt>
                <c:pt idx="241">
                  <c:v>710.41</c:v>
                </c:pt>
                <c:pt idx="242">
                  <c:v>705.2700000000001</c:v>
                </c:pt>
                <c:pt idx="243">
                  <c:v>700.68000000000006</c:v>
                </c:pt>
                <c:pt idx="244">
                  <c:v>702.81999999999994</c:v>
                </c:pt>
              </c:numCache>
            </c:numRef>
          </c:val>
          <c:smooth val="1"/>
        </c:ser>
        <c:marker val="1"/>
        <c:axId val="239009152"/>
        <c:axId val="239015040"/>
      </c:lineChart>
      <c:dateAx>
        <c:axId val="239009152"/>
        <c:scaling>
          <c:orientation val="minMax"/>
        </c:scaling>
        <c:axPos val="b"/>
        <c:numFmt formatCode="yy\-mm" sourceLinked="0"/>
        <c:tickLblPos val="nextTo"/>
        <c:spPr>
          <a:ln w="25400">
            <a:solidFill>
              <a:srgbClr val="3F3F3F"/>
            </a:solidFill>
            <a:prstDash val="solid"/>
          </a:ln>
        </c:spPr>
        <c:txPr>
          <a:bodyPr/>
          <a:lstStyle/>
          <a:p>
            <a:pPr>
              <a:defRPr sz="600" baseline="0">
                <a:latin typeface="Arial"/>
                <a:ea typeface="Arial"/>
                <a:cs typeface="Arial"/>
              </a:defRPr>
            </a:pPr>
            <a:endParaRPr lang="zh-CN"/>
          </a:p>
        </c:txPr>
        <c:crossAx val="239015040"/>
        <c:crosses val="autoZero"/>
        <c:auto val="1"/>
        <c:lblOffset val="100"/>
      </c:dateAx>
      <c:valAx>
        <c:axId val="239015040"/>
        <c:scaling>
          <c:orientation val="minMax"/>
          <c:min val="595"/>
        </c:scaling>
        <c:axPos val="l"/>
        <c:numFmt formatCode="General" sourceLinked="1"/>
        <c:tickLblPos val="nextTo"/>
        <c:spPr>
          <a:ln w="25400">
            <a:solidFill>
              <a:srgbClr val="3F3F3F"/>
            </a:solidFill>
            <a:prstDash val="solid"/>
          </a:ln>
        </c:spPr>
        <c:txPr>
          <a:bodyPr/>
          <a:lstStyle/>
          <a:p>
            <a:pPr>
              <a:defRPr sz="600" baseline="0">
                <a:latin typeface="Arial"/>
                <a:ea typeface="Arial"/>
                <a:cs typeface="Arial"/>
              </a:defRPr>
            </a:pPr>
            <a:endParaRPr lang="zh-CN"/>
          </a:p>
        </c:txPr>
        <c:crossAx val="239009152"/>
        <c:crosses val="autoZero"/>
        <c:crossBetween val="between"/>
      </c:valAx>
      <c:spPr>
        <a:noFill/>
        <a:ln w="25400">
          <a:noFill/>
        </a:ln>
      </c:spPr>
    </c:plotArea>
    <c:legend>
      <c:legendPos val="b"/>
      <c:layout>
        <c:manualLayout>
          <c:xMode val="edge"/>
          <c:yMode val="edge"/>
          <c:x val="0.05"/>
          <c:y val="0.85687188172424389"/>
          <c:w val="0.9"/>
          <c:h val="0.11497496512260291"/>
        </c:manualLayout>
      </c:layout>
      <c:spPr>
        <a:ln w="25400">
          <a:noFill/>
        </a:ln>
      </c:spPr>
      <c:txPr>
        <a:bodyPr/>
        <a:lstStyle/>
        <a:p>
          <a:pPr>
            <a:defRPr sz="600" baseline="0"/>
          </a:pPr>
          <a:endParaRPr lang="zh-CN"/>
        </a:p>
      </c:txPr>
    </c:legend>
    <c:plotVisOnly val="1"/>
    <c:dispBlanksAs val="gap"/>
  </c:chart>
  <c:spPr>
    <a:ln>
      <a:noFill/>
    </a:ln>
  </c:spPr>
  <c:txPr>
    <a:bodyPr/>
    <a:lstStyle/>
    <a:p>
      <a:pPr>
        <a:defRPr sz="900"/>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0360086405128628"/>
          <c:y val="6.2927165354330711E-2"/>
          <c:w val="0.85538048451908555"/>
          <c:h val="0.80713353018372702"/>
        </c:manualLayout>
      </c:layout>
      <c:lineChart>
        <c:grouping val="standard"/>
        <c:ser>
          <c:idx val="0"/>
          <c:order val="0"/>
          <c:tx>
            <c:strRef>
              <c:f>行业涨跌!$D$2</c:f>
              <c:strCache>
                <c:ptCount val="1"/>
                <c:pt idx="0">
                  <c:v>超额收益(%)</c:v>
                </c:pt>
              </c:strCache>
            </c:strRef>
          </c:tx>
          <c:spPr>
            <a:ln w="19050">
              <a:solidFill>
                <a:srgbClr val="0070C0"/>
              </a:solidFill>
            </a:ln>
          </c:spPr>
          <c:marker>
            <c:symbol val="none"/>
          </c:marker>
          <c:cat>
            <c:numRef>
              <c:f>行业涨跌!$A$4:$A$45</c:f>
              <c:numCache>
                <c:formatCode>yyyymmdd</c:formatCode>
                <c:ptCount val="42"/>
                <c:pt idx="0">
                  <c:v>41642</c:v>
                </c:pt>
                <c:pt idx="1">
                  <c:v>41649</c:v>
                </c:pt>
                <c:pt idx="2">
                  <c:v>41656</c:v>
                </c:pt>
                <c:pt idx="3">
                  <c:v>41663</c:v>
                </c:pt>
                <c:pt idx="4">
                  <c:v>41669</c:v>
                </c:pt>
                <c:pt idx="5">
                  <c:v>41677</c:v>
                </c:pt>
                <c:pt idx="6">
                  <c:v>41684</c:v>
                </c:pt>
                <c:pt idx="7">
                  <c:v>41691</c:v>
                </c:pt>
                <c:pt idx="8">
                  <c:v>41698</c:v>
                </c:pt>
                <c:pt idx="9">
                  <c:v>41705</c:v>
                </c:pt>
                <c:pt idx="10">
                  <c:v>41712</c:v>
                </c:pt>
                <c:pt idx="11">
                  <c:v>41719</c:v>
                </c:pt>
                <c:pt idx="12">
                  <c:v>41726</c:v>
                </c:pt>
                <c:pt idx="13">
                  <c:v>41733</c:v>
                </c:pt>
                <c:pt idx="14">
                  <c:v>41740</c:v>
                </c:pt>
                <c:pt idx="15">
                  <c:v>41747</c:v>
                </c:pt>
                <c:pt idx="16">
                  <c:v>41754</c:v>
                </c:pt>
                <c:pt idx="17">
                  <c:v>41759</c:v>
                </c:pt>
                <c:pt idx="18">
                  <c:v>41768</c:v>
                </c:pt>
                <c:pt idx="19">
                  <c:v>41775</c:v>
                </c:pt>
                <c:pt idx="20">
                  <c:v>41782</c:v>
                </c:pt>
                <c:pt idx="21">
                  <c:v>41789</c:v>
                </c:pt>
                <c:pt idx="22">
                  <c:v>41796</c:v>
                </c:pt>
                <c:pt idx="23">
                  <c:v>41803</c:v>
                </c:pt>
                <c:pt idx="24">
                  <c:v>41810</c:v>
                </c:pt>
                <c:pt idx="25">
                  <c:v>41817</c:v>
                </c:pt>
                <c:pt idx="26">
                  <c:v>41824</c:v>
                </c:pt>
                <c:pt idx="27">
                  <c:v>41831</c:v>
                </c:pt>
                <c:pt idx="28">
                  <c:v>41838</c:v>
                </c:pt>
                <c:pt idx="29">
                  <c:v>41845</c:v>
                </c:pt>
                <c:pt idx="30">
                  <c:v>41852</c:v>
                </c:pt>
                <c:pt idx="31">
                  <c:v>41859</c:v>
                </c:pt>
                <c:pt idx="32">
                  <c:v>41866</c:v>
                </c:pt>
                <c:pt idx="33">
                  <c:v>41873</c:v>
                </c:pt>
                <c:pt idx="34">
                  <c:v>41880</c:v>
                </c:pt>
                <c:pt idx="35">
                  <c:v>41887</c:v>
                </c:pt>
                <c:pt idx="36">
                  <c:v>41894</c:v>
                </c:pt>
                <c:pt idx="37">
                  <c:v>41901</c:v>
                </c:pt>
                <c:pt idx="38">
                  <c:v>41908</c:v>
                </c:pt>
                <c:pt idx="39">
                  <c:v>41912</c:v>
                </c:pt>
                <c:pt idx="40">
                  <c:v>41922</c:v>
                </c:pt>
                <c:pt idx="41">
                  <c:v>41929</c:v>
                </c:pt>
              </c:numCache>
            </c:numRef>
          </c:cat>
          <c:val>
            <c:numRef>
              <c:f>行业涨跌!$D$4:$D$45</c:f>
              <c:numCache>
                <c:formatCode>0.00_ </c:formatCode>
                <c:ptCount val="42"/>
                <c:pt idx="0">
                  <c:v>-1.9618</c:v>
                </c:pt>
                <c:pt idx="1">
                  <c:v>1.4747999999999999</c:v>
                </c:pt>
                <c:pt idx="2">
                  <c:v>3.3767999999999994</c:v>
                </c:pt>
                <c:pt idx="3">
                  <c:v>-3.5916999999999994</c:v>
                </c:pt>
                <c:pt idx="4">
                  <c:v>-1.5697999999999996</c:v>
                </c:pt>
                <c:pt idx="5">
                  <c:v>-2.4386999999999994</c:v>
                </c:pt>
                <c:pt idx="6">
                  <c:v>-1.1128999999999998</c:v>
                </c:pt>
                <c:pt idx="7">
                  <c:v>1.21</c:v>
                </c:pt>
                <c:pt idx="8">
                  <c:v>2.0989999999999998</c:v>
                </c:pt>
                <c:pt idx="9">
                  <c:v>-1.8585000000000003</c:v>
                </c:pt>
                <c:pt idx="10">
                  <c:v>-0.90739999999999998</c:v>
                </c:pt>
                <c:pt idx="11">
                  <c:v>0.60120000000000029</c:v>
                </c:pt>
                <c:pt idx="12">
                  <c:v>0.40580000000000005</c:v>
                </c:pt>
                <c:pt idx="13">
                  <c:v>1.6419999999999997</c:v>
                </c:pt>
                <c:pt idx="14">
                  <c:v>2.6100000000000003</c:v>
                </c:pt>
                <c:pt idx="15">
                  <c:v>-2.0322999999999993</c:v>
                </c:pt>
                <c:pt idx="16">
                  <c:v>0.90630000000000011</c:v>
                </c:pt>
                <c:pt idx="17">
                  <c:v>0.53710000000000002</c:v>
                </c:pt>
                <c:pt idx="18">
                  <c:v>1.0550999999999999</c:v>
                </c:pt>
                <c:pt idx="19">
                  <c:v>0.20540000000000005</c:v>
                </c:pt>
                <c:pt idx="20">
                  <c:v>-9.9800000000000014E-2</c:v>
                </c:pt>
                <c:pt idx="21">
                  <c:v>1.0166999999999997</c:v>
                </c:pt>
                <c:pt idx="22">
                  <c:v>0.68219999999999992</c:v>
                </c:pt>
                <c:pt idx="23">
                  <c:v>1.5312999999999997</c:v>
                </c:pt>
                <c:pt idx="24">
                  <c:v>0.51920000000000011</c:v>
                </c:pt>
                <c:pt idx="25">
                  <c:v>-2.4347000000000003</c:v>
                </c:pt>
                <c:pt idx="26">
                  <c:v>1.6557000000000002</c:v>
                </c:pt>
                <c:pt idx="27">
                  <c:v>-4.4699999999999969E-2</c:v>
                </c:pt>
                <c:pt idx="28">
                  <c:v>0.62680000000000002</c:v>
                </c:pt>
                <c:pt idx="29">
                  <c:v>3.0684999999999993</c:v>
                </c:pt>
                <c:pt idx="30">
                  <c:v>-0.65689999999999993</c:v>
                </c:pt>
                <c:pt idx="31">
                  <c:v>-1.9513</c:v>
                </c:pt>
                <c:pt idx="32">
                  <c:v>2.0103</c:v>
                </c:pt>
                <c:pt idx="33">
                  <c:v>-2.3541999999999996</c:v>
                </c:pt>
                <c:pt idx="34">
                  <c:v>-0.43150000000000011</c:v>
                </c:pt>
                <c:pt idx="35">
                  <c:v>1.8400000000000642E-2</c:v>
                </c:pt>
                <c:pt idx="36">
                  <c:v>-2.2185999999999999</c:v>
                </c:pt>
                <c:pt idx="37">
                  <c:v>-0.59970000000000001</c:v>
                </c:pt>
                <c:pt idx="38">
                  <c:v>-1.4593999999999998</c:v>
                </c:pt>
                <c:pt idx="39">
                  <c:v>-1.1127</c:v>
                </c:pt>
                <c:pt idx="40">
                  <c:v>-0.67110000000000014</c:v>
                </c:pt>
                <c:pt idx="41">
                  <c:v>0.62410000000000021</c:v>
                </c:pt>
              </c:numCache>
            </c:numRef>
          </c:val>
          <c:smooth val="1"/>
        </c:ser>
        <c:ser>
          <c:idx val="1"/>
          <c:order val="1"/>
          <c:tx>
            <c:strRef>
              <c:f>行业涨跌!$E$2</c:f>
              <c:strCache>
                <c:ptCount val="1"/>
                <c:pt idx="0">
                  <c:v>沪深300(%)</c:v>
                </c:pt>
              </c:strCache>
            </c:strRef>
          </c:tx>
          <c:spPr>
            <a:ln w="19050">
              <a:solidFill>
                <a:srgbClr val="C00000"/>
              </a:solidFill>
            </a:ln>
          </c:spPr>
          <c:marker>
            <c:symbol val="none"/>
          </c:marker>
          <c:cat>
            <c:numRef>
              <c:f>行业涨跌!$A$4:$A$45</c:f>
              <c:numCache>
                <c:formatCode>yyyymmdd</c:formatCode>
                <c:ptCount val="42"/>
                <c:pt idx="0">
                  <c:v>41642</c:v>
                </c:pt>
                <c:pt idx="1">
                  <c:v>41649</c:v>
                </c:pt>
                <c:pt idx="2">
                  <c:v>41656</c:v>
                </c:pt>
                <c:pt idx="3">
                  <c:v>41663</c:v>
                </c:pt>
                <c:pt idx="4">
                  <c:v>41669</c:v>
                </c:pt>
                <c:pt idx="5">
                  <c:v>41677</c:v>
                </c:pt>
                <c:pt idx="6">
                  <c:v>41684</c:v>
                </c:pt>
                <c:pt idx="7">
                  <c:v>41691</c:v>
                </c:pt>
                <c:pt idx="8">
                  <c:v>41698</c:v>
                </c:pt>
                <c:pt idx="9">
                  <c:v>41705</c:v>
                </c:pt>
                <c:pt idx="10">
                  <c:v>41712</c:v>
                </c:pt>
                <c:pt idx="11">
                  <c:v>41719</c:v>
                </c:pt>
                <c:pt idx="12">
                  <c:v>41726</c:v>
                </c:pt>
                <c:pt idx="13">
                  <c:v>41733</c:v>
                </c:pt>
                <c:pt idx="14">
                  <c:v>41740</c:v>
                </c:pt>
                <c:pt idx="15">
                  <c:v>41747</c:v>
                </c:pt>
                <c:pt idx="16">
                  <c:v>41754</c:v>
                </c:pt>
                <c:pt idx="17">
                  <c:v>41759</c:v>
                </c:pt>
                <c:pt idx="18">
                  <c:v>41768</c:v>
                </c:pt>
                <c:pt idx="19">
                  <c:v>41775</c:v>
                </c:pt>
                <c:pt idx="20">
                  <c:v>41782</c:v>
                </c:pt>
                <c:pt idx="21">
                  <c:v>41789</c:v>
                </c:pt>
                <c:pt idx="22">
                  <c:v>41796</c:v>
                </c:pt>
                <c:pt idx="23">
                  <c:v>41803</c:v>
                </c:pt>
                <c:pt idx="24">
                  <c:v>41810</c:v>
                </c:pt>
                <c:pt idx="25">
                  <c:v>41817</c:v>
                </c:pt>
                <c:pt idx="26">
                  <c:v>41824</c:v>
                </c:pt>
                <c:pt idx="27">
                  <c:v>41831</c:v>
                </c:pt>
                <c:pt idx="28">
                  <c:v>41838</c:v>
                </c:pt>
                <c:pt idx="29">
                  <c:v>41845</c:v>
                </c:pt>
                <c:pt idx="30">
                  <c:v>41852</c:v>
                </c:pt>
                <c:pt idx="31">
                  <c:v>41859</c:v>
                </c:pt>
                <c:pt idx="32">
                  <c:v>41866</c:v>
                </c:pt>
                <c:pt idx="33">
                  <c:v>41873</c:v>
                </c:pt>
                <c:pt idx="34">
                  <c:v>41880</c:v>
                </c:pt>
                <c:pt idx="35">
                  <c:v>41887</c:v>
                </c:pt>
                <c:pt idx="36">
                  <c:v>41894</c:v>
                </c:pt>
                <c:pt idx="37">
                  <c:v>41901</c:v>
                </c:pt>
                <c:pt idx="38">
                  <c:v>41908</c:v>
                </c:pt>
                <c:pt idx="39">
                  <c:v>41912</c:v>
                </c:pt>
                <c:pt idx="40">
                  <c:v>41922</c:v>
                </c:pt>
                <c:pt idx="41">
                  <c:v>41929</c:v>
                </c:pt>
              </c:numCache>
            </c:numRef>
          </c:cat>
          <c:val>
            <c:numRef>
              <c:f>行业涨跌!$E$4:$E$45</c:f>
              <c:numCache>
                <c:formatCode>0.00_ </c:formatCode>
                <c:ptCount val="42"/>
                <c:pt idx="0">
                  <c:v>-1.6843999999999999</c:v>
                </c:pt>
                <c:pt idx="1">
                  <c:v>-5.4354000000000005</c:v>
                </c:pt>
                <c:pt idx="2">
                  <c:v>-6.6311</c:v>
                </c:pt>
                <c:pt idx="3">
                  <c:v>-3.5468999999999995</c:v>
                </c:pt>
                <c:pt idx="4">
                  <c:v>-5.4718000000000009</c:v>
                </c:pt>
                <c:pt idx="5">
                  <c:v>-5.0163000000000002</c:v>
                </c:pt>
                <c:pt idx="6">
                  <c:v>-1.2607000000000004</c:v>
                </c:pt>
                <c:pt idx="7">
                  <c:v>-2.6234000000000002</c:v>
                </c:pt>
                <c:pt idx="8">
                  <c:v>-6.3916000000000004</c:v>
                </c:pt>
                <c:pt idx="9">
                  <c:v>-6.8787000000000003</c:v>
                </c:pt>
                <c:pt idx="10">
                  <c:v>-8.9781000000000013</c:v>
                </c:pt>
                <c:pt idx="11">
                  <c:v>-7.2840000000000016</c:v>
                </c:pt>
                <c:pt idx="12">
                  <c:v>-7.6005000000000011</c:v>
                </c:pt>
                <c:pt idx="13">
                  <c:v>-6.0435000000000016</c:v>
                </c:pt>
                <c:pt idx="14">
                  <c:v>-2.1453000000000015</c:v>
                </c:pt>
                <c:pt idx="15">
                  <c:v>-4.1794000000000011</c:v>
                </c:pt>
                <c:pt idx="16">
                  <c:v>-6.7262000000000013</c:v>
                </c:pt>
                <c:pt idx="17">
                  <c:v>-7.1491000000000016</c:v>
                </c:pt>
                <c:pt idx="18">
                  <c:v>-8.2956000000000021</c:v>
                </c:pt>
                <c:pt idx="19">
                  <c:v>-7.7313000000000027</c:v>
                </c:pt>
                <c:pt idx="20">
                  <c:v>-7.6166000000000018</c:v>
                </c:pt>
                <c:pt idx="21">
                  <c:v>-7.241900000000002</c:v>
                </c:pt>
                <c:pt idx="22">
                  <c:v>-8.2504000000000026</c:v>
                </c:pt>
                <c:pt idx="23">
                  <c:v>-6.3051000000000021</c:v>
                </c:pt>
                <c:pt idx="24">
                  <c:v>-8.1208000000000009</c:v>
                </c:pt>
                <c:pt idx="25">
                  <c:v>-7.4876000000000023</c:v>
                </c:pt>
                <c:pt idx="26">
                  <c:v>-6.1651000000000016</c:v>
                </c:pt>
                <c:pt idx="27">
                  <c:v>-7.5736000000000034</c:v>
                </c:pt>
                <c:pt idx="28">
                  <c:v>-6.8224000000000018</c:v>
                </c:pt>
                <c:pt idx="29">
                  <c:v>-2.3721000000000023</c:v>
                </c:pt>
                <c:pt idx="30">
                  <c:v>0.6780999999999977</c:v>
                </c:pt>
                <c:pt idx="31">
                  <c:v>0.75249999999999762</c:v>
                </c:pt>
                <c:pt idx="32">
                  <c:v>2.0179999999999976</c:v>
                </c:pt>
                <c:pt idx="33">
                  <c:v>2.2182999999999975</c:v>
                </c:pt>
                <c:pt idx="34">
                  <c:v>1.0735999999999972</c:v>
                </c:pt>
                <c:pt idx="35">
                  <c:v>5.819499999999997</c:v>
                </c:pt>
                <c:pt idx="36">
                  <c:v>5.374399999999997</c:v>
                </c:pt>
                <c:pt idx="37">
                  <c:v>4.8351999999999968</c:v>
                </c:pt>
                <c:pt idx="38">
                  <c:v>5.3295999999999966</c:v>
                </c:pt>
                <c:pt idx="39">
                  <c:v>5.8952999999999962</c:v>
                </c:pt>
                <c:pt idx="40">
                  <c:v>6.5399999999999974</c:v>
                </c:pt>
                <c:pt idx="41">
                  <c:v>5.524199999999996</c:v>
                </c:pt>
              </c:numCache>
            </c:numRef>
          </c:val>
          <c:smooth val="1"/>
        </c:ser>
        <c:ser>
          <c:idx val="2"/>
          <c:order val="2"/>
          <c:tx>
            <c:strRef>
              <c:f>行业涨跌!$F$2</c:f>
              <c:strCache>
                <c:ptCount val="1"/>
                <c:pt idx="0">
                  <c:v>保险指数(%)</c:v>
                </c:pt>
              </c:strCache>
            </c:strRef>
          </c:tx>
          <c:spPr>
            <a:ln w="19050">
              <a:solidFill>
                <a:srgbClr val="92D050"/>
              </a:solidFill>
            </a:ln>
          </c:spPr>
          <c:marker>
            <c:symbol val="none"/>
          </c:marker>
          <c:cat>
            <c:numRef>
              <c:f>行业涨跌!$A$4:$A$45</c:f>
              <c:numCache>
                <c:formatCode>yyyymmdd</c:formatCode>
                <c:ptCount val="42"/>
                <c:pt idx="0">
                  <c:v>41642</c:v>
                </c:pt>
                <c:pt idx="1">
                  <c:v>41649</c:v>
                </c:pt>
                <c:pt idx="2">
                  <c:v>41656</c:v>
                </c:pt>
                <c:pt idx="3">
                  <c:v>41663</c:v>
                </c:pt>
                <c:pt idx="4">
                  <c:v>41669</c:v>
                </c:pt>
                <c:pt idx="5">
                  <c:v>41677</c:v>
                </c:pt>
                <c:pt idx="6">
                  <c:v>41684</c:v>
                </c:pt>
                <c:pt idx="7">
                  <c:v>41691</c:v>
                </c:pt>
                <c:pt idx="8">
                  <c:v>41698</c:v>
                </c:pt>
                <c:pt idx="9">
                  <c:v>41705</c:v>
                </c:pt>
                <c:pt idx="10">
                  <c:v>41712</c:v>
                </c:pt>
                <c:pt idx="11">
                  <c:v>41719</c:v>
                </c:pt>
                <c:pt idx="12">
                  <c:v>41726</c:v>
                </c:pt>
                <c:pt idx="13">
                  <c:v>41733</c:v>
                </c:pt>
                <c:pt idx="14">
                  <c:v>41740</c:v>
                </c:pt>
                <c:pt idx="15">
                  <c:v>41747</c:v>
                </c:pt>
                <c:pt idx="16">
                  <c:v>41754</c:v>
                </c:pt>
                <c:pt idx="17">
                  <c:v>41759</c:v>
                </c:pt>
                <c:pt idx="18">
                  <c:v>41768</c:v>
                </c:pt>
                <c:pt idx="19">
                  <c:v>41775</c:v>
                </c:pt>
                <c:pt idx="20">
                  <c:v>41782</c:v>
                </c:pt>
                <c:pt idx="21">
                  <c:v>41789</c:v>
                </c:pt>
                <c:pt idx="22">
                  <c:v>41796</c:v>
                </c:pt>
                <c:pt idx="23">
                  <c:v>41803</c:v>
                </c:pt>
                <c:pt idx="24">
                  <c:v>41810</c:v>
                </c:pt>
                <c:pt idx="25">
                  <c:v>41817</c:v>
                </c:pt>
                <c:pt idx="26">
                  <c:v>41824</c:v>
                </c:pt>
                <c:pt idx="27">
                  <c:v>41831</c:v>
                </c:pt>
                <c:pt idx="28">
                  <c:v>41838</c:v>
                </c:pt>
                <c:pt idx="29">
                  <c:v>41845</c:v>
                </c:pt>
                <c:pt idx="30">
                  <c:v>41852</c:v>
                </c:pt>
                <c:pt idx="31">
                  <c:v>41859</c:v>
                </c:pt>
                <c:pt idx="32">
                  <c:v>41866</c:v>
                </c:pt>
                <c:pt idx="33">
                  <c:v>41873</c:v>
                </c:pt>
                <c:pt idx="34">
                  <c:v>41880</c:v>
                </c:pt>
                <c:pt idx="35">
                  <c:v>41887</c:v>
                </c:pt>
                <c:pt idx="36">
                  <c:v>41894</c:v>
                </c:pt>
                <c:pt idx="37">
                  <c:v>41901</c:v>
                </c:pt>
                <c:pt idx="38">
                  <c:v>41908</c:v>
                </c:pt>
                <c:pt idx="39">
                  <c:v>41912</c:v>
                </c:pt>
                <c:pt idx="40">
                  <c:v>41922</c:v>
                </c:pt>
                <c:pt idx="41">
                  <c:v>41929</c:v>
                </c:pt>
              </c:numCache>
            </c:numRef>
          </c:cat>
          <c:val>
            <c:numRef>
              <c:f>行业涨跌!$F$4:$F$45</c:f>
              <c:numCache>
                <c:formatCode>0.00_ </c:formatCode>
                <c:ptCount val="42"/>
                <c:pt idx="0">
                  <c:v>-3.6461999999999999</c:v>
                </c:pt>
                <c:pt idx="1">
                  <c:v>-5.9223999999999997</c:v>
                </c:pt>
                <c:pt idx="2">
                  <c:v>-3.7412999999999998</c:v>
                </c:pt>
                <c:pt idx="3">
                  <c:v>-4.2488000000000001</c:v>
                </c:pt>
                <c:pt idx="4">
                  <c:v>-7.7435</c:v>
                </c:pt>
                <c:pt idx="5">
                  <c:v>-9.726700000000001</c:v>
                </c:pt>
                <c:pt idx="6">
                  <c:v>-7.0840000000000005</c:v>
                </c:pt>
                <c:pt idx="7">
                  <c:v>-7.2367000000000026</c:v>
                </c:pt>
                <c:pt idx="8">
                  <c:v>-8.9059000000000026</c:v>
                </c:pt>
                <c:pt idx="9">
                  <c:v>-11.251500000000004</c:v>
                </c:pt>
                <c:pt idx="10">
                  <c:v>-14.258300000000002</c:v>
                </c:pt>
                <c:pt idx="11">
                  <c:v>-11.963000000000006</c:v>
                </c:pt>
                <c:pt idx="12">
                  <c:v>-11.873700000000007</c:v>
                </c:pt>
                <c:pt idx="13">
                  <c:v>-8.674700000000005</c:v>
                </c:pt>
                <c:pt idx="14">
                  <c:v>-2.1665000000000045</c:v>
                </c:pt>
                <c:pt idx="15">
                  <c:v>-6.2329000000000043</c:v>
                </c:pt>
                <c:pt idx="16">
                  <c:v>-7.8734000000000055</c:v>
                </c:pt>
                <c:pt idx="17">
                  <c:v>-7.7592000000000052</c:v>
                </c:pt>
                <c:pt idx="18">
                  <c:v>-7.8506000000000054</c:v>
                </c:pt>
                <c:pt idx="19">
                  <c:v>-7.0809000000000042</c:v>
                </c:pt>
                <c:pt idx="20">
                  <c:v>-7.0660000000000043</c:v>
                </c:pt>
                <c:pt idx="21">
                  <c:v>-5.6746000000000043</c:v>
                </c:pt>
                <c:pt idx="22">
                  <c:v>-6.0009000000000041</c:v>
                </c:pt>
                <c:pt idx="23">
                  <c:v>-2.5243000000000042</c:v>
                </c:pt>
                <c:pt idx="24">
                  <c:v>-3.8208000000000037</c:v>
                </c:pt>
                <c:pt idx="25">
                  <c:v>-5.6223000000000045</c:v>
                </c:pt>
                <c:pt idx="26">
                  <c:v>-2.6441000000000048</c:v>
                </c:pt>
                <c:pt idx="27">
                  <c:v>-4.0973000000000042</c:v>
                </c:pt>
                <c:pt idx="28">
                  <c:v>-2.719300000000004</c:v>
                </c:pt>
                <c:pt idx="29">
                  <c:v>4.7994999999999965</c:v>
                </c:pt>
                <c:pt idx="30">
                  <c:v>7.1927999999999956</c:v>
                </c:pt>
                <c:pt idx="31">
                  <c:v>5.3158999999999956</c:v>
                </c:pt>
                <c:pt idx="32">
                  <c:v>8.5916999999999994</c:v>
                </c:pt>
                <c:pt idx="33">
                  <c:v>6.4377999999999966</c:v>
                </c:pt>
                <c:pt idx="34">
                  <c:v>4.8615999999999957</c:v>
                </c:pt>
                <c:pt idx="35">
                  <c:v>9.6258999999999979</c:v>
                </c:pt>
                <c:pt idx="36">
                  <c:v>6.9621999999999957</c:v>
                </c:pt>
                <c:pt idx="37">
                  <c:v>5.8232999999999961</c:v>
                </c:pt>
                <c:pt idx="38">
                  <c:v>4.8582999999999963</c:v>
                </c:pt>
                <c:pt idx="39">
                  <c:v>4.3112999999999975</c:v>
                </c:pt>
                <c:pt idx="40">
                  <c:v>4.2848999999999968</c:v>
                </c:pt>
                <c:pt idx="41">
                  <c:v>3.8931999999999971</c:v>
                </c:pt>
              </c:numCache>
            </c:numRef>
          </c:val>
          <c:smooth val="1"/>
        </c:ser>
        <c:marker val="1"/>
        <c:axId val="194561536"/>
        <c:axId val="194563072"/>
      </c:lineChart>
      <c:dateAx>
        <c:axId val="194561536"/>
        <c:scaling>
          <c:orientation val="minMax"/>
        </c:scaling>
        <c:axPos val="b"/>
        <c:numFmt formatCode="yyyymmdd" sourceLinked="1"/>
        <c:tickLblPos val="nextTo"/>
        <c:txPr>
          <a:bodyPr/>
          <a:lstStyle/>
          <a:p>
            <a:pPr>
              <a:defRPr lang="en-CA" sz="800" baseline="0"/>
            </a:pPr>
            <a:endParaRPr lang="zh-CN"/>
          </a:p>
        </c:txPr>
        <c:crossAx val="194563072"/>
        <c:crosses val="autoZero"/>
        <c:auto val="1"/>
        <c:lblOffset val="100"/>
      </c:dateAx>
      <c:valAx>
        <c:axId val="194563072"/>
        <c:scaling>
          <c:orientation val="minMax"/>
        </c:scaling>
        <c:axPos val="l"/>
        <c:majorGridlines>
          <c:spPr>
            <a:ln>
              <a:prstDash val="sysDash"/>
            </a:ln>
          </c:spPr>
        </c:majorGridlines>
        <c:numFmt formatCode="0.00_ " sourceLinked="1"/>
        <c:tickLblPos val="nextTo"/>
        <c:txPr>
          <a:bodyPr/>
          <a:lstStyle/>
          <a:p>
            <a:pPr>
              <a:defRPr lang="en-CA" sz="800" baseline="0"/>
            </a:pPr>
            <a:endParaRPr lang="zh-CN"/>
          </a:p>
        </c:txPr>
        <c:crossAx val="194561536"/>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行业涨跌!$L$2</c:f>
              <c:strCache>
                <c:ptCount val="1"/>
                <c:pt idx="0">
                  <c:v>股份制与城商行</c:v>
                </c:pt>
              </c:strCache>
            </c:strRef>
          </c:tx>
          <c:spPr>
            <a:solidFill>
              <a:srgbClr val="0070C0"/>
            </a:solidFill>
          </c:spPr>
          <c:cat>
            <c:strRef>
              <c:f>行业涨跌!$K$4:$K$13</c:f>
              <c:strCache>
                <c:ptCount val="10"/>
                <c:pt idx="0">
                  <c:v>1月</c:v>
                </c:pt>
                <c:pt idx="1">
                  <c:v>2月</c:v>
                </c:pt>
                <c:pt idx="2">
                  <c:v>3月</c:v>
                </c:pt>
                <c:pt idx="3">
                  <c:v>4月</c:v>
                </c:pt>
                <c:pt idx="4">
                  <c:v>5月</c:v>
                </c:pt>
                <c:pt idx="5">
                  <c:v>6月</c:v>
                </c:pt>
                <c:pt idx="6">
                  <c:v>7月</c:v>
                </c:pt>
                <c:pt idx="7">
                  <c:v>8月</c:v>
                </c:pt>
                <c:pt idx="8">
                  <c:v>9月</c:v>
                </c:pt>
                <c:pt idx="9">
                  <c:v>10月</c:v>
                </c:pt>
              </c:strCache>
            </c:strRef>
          </c:cat>
          <c:val>
            <c:numRef>
              <c:f>行业涨跌!$L$4:$L$13</c:f>
              <c:numCache>
                <c:formatCode>0.00_ </c:formatCode>
                <c:ptCount val="10"/>
                <c:pt idx="0">
                  <c:v>-5.242</c:v>
                </c:pt>
                <c:pt idx="1">
                  <c:v>-0.21240000000000003</c:v>
                </c:pt>
                <c:pt idx="2">
                  <c:v>1.6758</c:v>
                </c:pt>
                <c:pt idx="3">
                  <c:v>2.4120999999999997</c:v>
                </c:pt>
                <c:pt idx="4">
                  <c:v>-1.5570999999999997</c:v>
                </c:pt>
                <c:pt idx="5">
                  <c:v>1.7013999999999998</c:v>
                </c:pt>
                <c:pt idx="6" formatCode="0.00">
                  <c:v>11.360100000000003</c:v>
                </c:pt>
                <c:pt idx="7" formatCode="0.00">
                  <c:v>-4.5119999999999996</c:v>
                </c:pt>
                <c:pt idx="8">
                  <c:v>1.0090999999999999</c:v>
                </c:pt>
                <c:pt idx="9">
                  <c:v>-0.79039999999999999</c:v>
                </c:pt>
              </c:numCache>
            </c:numRef>
          </c:val>
        </c:ser>
        <c:ser>
          <c:idx val="1"/>
          <c:order val="1"/>
          <c:tx>
            <c:strRef>
              <c:f>行业涨跌!$M$2</c:f>
              <c:strCache>
                <c:ptCount val="1"/>
                <c:pt idx="0">
                  <c:v>证券</c:v>
                </c:pt>
              </c:strCache>
            </c:strRef>
          </c:tx>
          <c:spPr>
            <a:solidFill>
              <a:srgbClr val="C00000"/>
            </a:solidFill>
          </c:spPr>
          <c:cat>
            <c:strRef>
              <c:f>行业涨跌!$K$4:$K$13</c:f>
              <c:strCache>
                <c:ptCount val="10"/>
                <c:pt idx="0">
                  <c:v>1月</c:v>
                </c:pt>
                <c:pt idx="1">
                  <c:v>2月</c:v>
                </c:pt>
                <c:pt idx="2">
                  <c:v>3月</c:v>
                </c:pt>
                <c:pt idx="3">
                  <c:v>4月</c:v>
                </c:pt>
                <c:pt idx="4">
                  <c:v>5月</c:v>
                </c:pt>
                <c:pt idx="5">
                  <c:v>6月</c:v>
                </c:pt>
                <c:pt idx="6">
                  <c:v>7月</c:v>
                </c:pt>
                <c:pt idx="7">
                  <c:v>8月</c:v>
                </c:pt>
                <c:pt idx="8">
                  <c:v>9月</c:v>
                </c:pt>
                <c:pt idx="9">
                  <c:v>10月</c:v>
                </c:pt>
              </c:strCache>
            </c:strRef>
          </c:cat>
          <c:val>
            <c:numRef>
              <c:f>行业涨跌!$M$4:$M$13</c:f>
              <c:numCache>
                <c:formatCode>0.00_ </c:formatCode>
                <c:ptCount val="10"/>
                <c:pt idx="0">
                  <c:v>-6.0065</c:v>
                </c:pt>
                <c:pt idx="1">
                  <c:v>-5.6612999999999998</c:v>
                </c:pt>
                <c:pt idx="2">
                  <c:v>-4.7763000000000009</c:v>
                </c:pt>
                <c:pt idx="3">
                  <c:v>4.4197000000000006</c:v>
                </c:pt>
                <c:pt idx="4">
                  <c:v>-0.62050000000000005</c:v>
                </c:pt>
                <c:pt idx="5">
                  <c:v>-0.4724000000000001</c:v>
                </c:pt>
                <c:pt idx="6" formatCode="0.00">
                  <c:v>15.272600000000002</c:v>
                </c:pt>
                <c:pt idx="7" formatCode="0.00">
                  <c:v>-1.1168</c:v>
                </c:pt>
                <c:pt idx="8">
                  <c:v>8.1132999999999988</c:v>
                </c:pt>
                <c:pt idx="9">
                  <c:v>2.5755999999999997</c:v>
                </c:pt>
              </c:numCache>
            </c:numRef>
          </c:val>
        </c:ser>
        <c:ser>
          <c:idx val="2"/>
          <c:order val="2"/>
          <c:tx>
            <c:strRef>
              <c:f>行业涨跌!$N$2</c:f>
              <c:strCache>
                <c:ptCount val="1"/>
                <c:pt idx="0">
                  <c:v>保险</c:v>
                </c:pt>
              </c:strCache>
            </c:strRef>
          </c:tx>
          <c:spPr>
            <a:solidFill>
              <a:srgbClr val="92D050"/>
            </a:solidFill>
          </c:spPr>
          <c:cat>
            <c:strRef>
              <c:f>行业涨跌!$K$4:$K$13</c:f>
              <c:strCache>
                <c:ptCount val="10"/>
                <c:pt idx="0">
                  <c:v>1月</c:v>
                </c:pt>
                <c:pt idx="1">
                  <c:v>2月</c:v>
                </c:pt>
                <c:pt idx="2">
                  <c:v>3月</c:v>
                </c:pt>
                <c:pt idx="3">
                  <c:v>4月</c:v>
                </c:pt>
                <c:pt idx="4">
                  <c:v>5月</c:v>
                </c:pt>
                <c:pt idx="5">
                  <c:v>6月</c:v>
                </c:pt>
                <c:pt idx="6">
                  <c:v>7月</c:v>
                </c:pt>
                <c:pt idx="7">
                  <c:v>8月</c:v>
                </c:pt>
                <c:pt idx="8">
                  <c:v>9月</c:v>
                </c:pt>
                <c:pt idx="9">
                  <c:v>10月</c:v>
                </c:pt>
              </c:strCache>
            </c:strRef>
          </c:cat>
          <c:val>
            <c:numRef>
              <c:f>行业涨跌!$N$4:$N$13</c:f>
              <c:numCache>
                <c:formatCode>0.00_ </c:formatCode>
                <c:ptCount val="10"/>
                <c:pt idx="0">
                  <c:v>-7.6193</c:v>
                </c:pt>
                <c:pt idx="1">
                  <c:v>-1.2233999999999998</c:v>
                </c:pt>
                <c:pt idx="2">
                  <c:v>-2.5953999999999997</c:v>
                </c:pt>
                <c:pt idx="3">
                  <c:v>3.3803000000000001</c:v>
                </c:pt>
                <c:pt idx="4">
                  <c:v>2.0935999999999999</c:v>
                </c:pt>
                <c:pt idx="5">
                  <c:v>1.2289999999999999</c:v>
                </c:pt>
                <c:pt idx="6" formatCode="0.00">
                  <c:v>13.945400000000001</c:v>
                </c:pt>
                <c:pt idx="7" formatCode="0.00">
                  <c:v>-4.2014000000000005</c:v>
                </c:pt>
                <c:pt idx="8">
                  <c:v>-0.70660000000000012</c:v>
                </c:pt>
                <c:pt idx="9">
                  <c:v>-0.3917000000000001</c:v>
                </c:pt>
              </c:numCache>
            </c:numRef>
          </c:val>
        </c:ser>
        <c:ser>
          <c:idx val="3"/>
          <c:order val="3"/>
          <c:tx>
            <c:strRef>
              <c:f>行业涨跌!$O$2</c:f>
              <c:strCache>
                <c:ptCount val="1"/>
                <c:pt idx="0">
                  <c:v>信托及其他</c:v>
                </c:pt>
              </c:strCache>
            </c:strRef>
          </c:tx>
          <c:spPr>
            <a:solidFill>
              <a:schemeClr val="accent4">
                <a:lumMod val="60000"/>
                <a:lumOff val="40000"/>
              </a:schemeClr>
            </a:solidFill>
          </c:spPr>
          <c:cat>
            <c:strRef>
              <c:f>行业涨跌!$K$4:$K$13</c:f>
              <c:strCache>
                <c:ptCount val="10"/>
                <c:pt idx="0">
                  <c:v>1月</c:v>
                </c:pt>
                <c:pt idx="1">
                  <c:v>2月</c:v>
                </c:pt>
                <c:pt idx="2">
                  <c:v>3月</c:v>
                </c:pt>
                <c:pt idx="3">
                  <c:v>4月</c:v>
                </c:pt>
                <c:pt idx="4">
                  <c:v>5月</c:v>
                </c:pt>
                <c:pt idx="5">
                  <c:v>6月</c:v>
                </c:pt>
                <c:pt idx="6">
                  <c:v>7月</c:v>
                </c:pt>
                <c:pt idx="7">
                  <c:v>8月</c:v>
                </c:pt>
                <c:pt idx="8">
                  <c:v>9月</c:v>
                </c:pt>
                <c:pt idx="9">
                  <c:v>10月</c:v>
                </c:pt>
              </c:strCache>
            </c:strRef>
          </c:cat>
          <c:val>
            <c:numRef>
              <c:f>行业涨跌!$O$4:$O$13</c:f>
              <c:numCache>
                <c:formatCode>0.00_ </c:formatCode>
                <c:ptCount val="10"/>
                <c:pt idx="0">
                  <c:v>9.0000000000000041E-4</c:v>
                </c:pt>
                <c:pt idx="1">
                  <c:v>-1.0235999999999998</c:v>
                </c:pt>
                <c:pt idx="2">
                  <c:v>-3.6166999999999994</c:v>
                </c:pt>
                <c:pt idx="3">
                  <c:v>5.1179999999999994</c:v>
                </c:pt>
                <c:pt idx="4">
                  <c:v>-1.1025</c:v>
                </c:pt>
                <c:pt idx="5">
                  <c:v>-4.1313000000000004</c:v>
                </c:pt>
                <c:pt idx="6" formatCode="0.00">
                  <c:v>19.832999999999995</c:v>
                </c:pt>
                <c:pt idx="7" formatCode="0.00">
                  <c:v>-0.83670000000000011</c:v>
                </c:pt>
                <c:pt idx="8">
                  <c:v>19.883900000000001</c:v>
                </c:pt>
                <c:pt idx="9">
                  <c:v>6.762999999999999</c:v>
                </c:pt>
              </c:numCache>
            </c:numRef>
          </c:val>
        </c:ser>
        <c:axId val="194827008"/>
        <c:axId val="194828544"/>
      </c:barChart>
      <c:catAx>
        <c:axId val="194827008"/>
        <c:scaling>
          <c:orientation val="minMax"/>
        </c:scaling>
        <c:axPos val="b"/>
        <c:numFmt formatCode="yyyymmdd" sourceLinked="1"/>
        <c:tickLblPos val="nextTo"/>
        <c:txPr>
          <a:bodyPr/>
          <a:lstStyle/>
          <a:p>
            <a:pPr>
              <a:defRPr lang="en-CA" sz="800" baseline="0"/>
            </a:pPr>
            <a:endParaRPr lang="zh-CN"/>
          </a:p>
        </c:txPr>
        <c:crossAx val="194828544"/>
        <c:crosses val="autoZero"/>
        <c:auto val="1"/>
        <c:lblAlgn val="ctr"/>
        <c:lblOffset val="100"/>
      </c:catAx>
      <c:valAx>
        <c:axId val="194828544"/>
        <c:scaling>
          <c:orientation val="minMax"/>
        </c:scaling>
        <c:axPos val="l"/>
        <c:majorGridlines>
          <c:spPr>
            <a:ln w="6350">
              <a:prstDash val="sysDash"/>
            </a:ln>
          </c:spPr>
        </c:majorGridlines>
        <c:numFmt formatCode="#,##0_ " sourceLinked="0"/>
        <c:tickLblPos val="nextTo"/>
        <c:txPr>
          <a:bodyPr/>
          <a:lstStyle/>
          <a:p>
            <a:pPr>
              <a:defRPr lang="en-CA" sz="800" baseline="0"/>
            </a:pPr>
            <a:endParaRPr lang="zh-CN"/>
          </a:p>
        </c:txPr>
        <c:crossAx val="194827008"/>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行业数据!$F$3</c:f>
              <c:strCache>
                <c:ptCount val="1"/>
                <c:pt idx="0">
                  <c:v>保费同比增速</c:v>
                </c:pt>
              </c:strCache>
            </c:strRef>
          </c:tx>
          <c:spPr>
            <a:ln w="19050">
              <a:solidFill>
                <a:schemeClr val="tx1">
                  <a:lumMod val="65000"/>
                  <a:lumOff val="35000"/>
                </a:schemeClr>
              </a:solidFill>
            </a:ln>
          </c:spPr>
          <c:marker>
            <c:symbol val="none"/>
          </c:marker>
          <c:cat>
            <c:numRef>
              <c:f>行业数据!$A$29:$A$84</c:f>
              <c:numCache>
                <c:formatCode>yyyy\-mm;@</c:formatCode>
                <c:ptCount val="56"/>
                <c:pt idx="0">
                  <c:v>40209</c:v>
                </c:pt>
                <c:pt idx="1">
                  <c:v>40237</c:v>
                </c:pt>
                <c:pt idx="2">
                  <c:v>40268</c:v>
                </c:pt>
                <c:pt idx="3">
                  <c:v>40298</c:v>
                </c:pt>
                <c:pt idx="4">
                  <c:v>40329</c:v>
                </c:pt>
                <c:pt idx="5">
                  <c:v>40359</c:v>
                </c:pt>
                <c:pt idx="6">
                  <c:v>40390</c:v>
                </c:pt>
                <c:pt idx="7">
                  <c:v>40421</c:v>
                </c:pt>
                <c:pt idx="8">
                  <c:v>40451</c:v>
                </c:pt>
                <c:pt idx="9">
                  <c:v>40482</c:v>
                </c:pt>
                <c:pt idx="10">
                  <c:v>40512</c:v>
                </c:pt>
                <c:pt idx="11">
                  <c:v>40543</c:v>
                </c:pt>
                <c:pt idx="12">
                  <c:v>40574</c:v>
                </c:pt>
                <c:pt idx="13">
                  <c:v>40602</c:v>
                </c:pt>
                <c:pt idx="14">
                  <c:v>40633</c:v>
                </c:pt>
                <c:pt idx="15">
                  <c:v>40663</c:v>
                </c:pt>
                <c:pt idx="16">
                  <c:v>40694</c:v>
                </c:pt>
                <c:pt idx="17">
                  <c:v>40724</c:v>
                </c:pt>
                <c:pt idx="18">
                  <c:v>40755</c:v>
                </c:pt>
                <c:pt idx="19">
                  <c:v>40786</c:v>
                </c:pt>
                <c:pt idx="20">
                  <c:v>40816</c:v>
                </c:pt>
                <c:pt idx="21">
                  <c:v>40847</c:v>
                </c:pt>
                <c:pt idx="22">
                  <c:v>40877</c:v>
                </c:pt>
                <c:pt idx="23">
                  <c:v>40908</c:v>
                </c:pt>
                <c:pt idx="24">
                  <c:v>40939</c:v>
                </c:pt>
                <c:pt idx="25">
                  <c:v>40968</c:v>
                </c:pt>
                <c:pt idx="26">
                  <c:v>40999</c:v>
                </c:pt>
                <c:pt idx="27">
                  <c:v>41029</c:v>
                </c:pt>
                <c:pt idx="28">
                  <c:v>41060</c:v>
                </c:pt>
                <c:pt idx="29">
                  <c:v>41090</c:v>
                </c:pt>
                <c:pt idx="30">
                  <c:v>41121</c:v>
                </c:pt>
                <c:pt idx="31">
                  <c:v>41152</c:v>
                </c:pt>
                <c:pt idx="32">
                  <c:v>41182</c:v>
                </c:pt>
                <c:pt idx="33">
                  <c:v>41213</c:v>
                </c:pt>
                <c:pt idx="34">
                  <c:v>41243</c:v>
                </c:pt>
                <c:pt idx="35">
                  <c:v>41274</c:v>
                </c:pt>
                <c:pt idx="36">
                  <c:v>41305</c:v>
                </c:pt>
                <c:pt idx="37">
                  <c:v>41333</c:v>
                </c:pt>
                <c:pt idx="38">
                  <c:v>41364</c:v>
                </c:pt>
                <c:pt idx="39">
                  <c:v>41394</c:v>
                </c:pt>
                <c:pt idx="40">
                  <c:v>41425</c:v>
                </c:pt>
                <c:pt idx="41">
                  <c:v>41455</c:v>
                </c:pt>
                <c:pt idx="42">
                  <c:v>41486</c:v>
                </c:pt>
                <c:pt idx="43">
                  <c:v>41517</c:v>
                </c:pt>
                <c:pt idx="44">
                  <c:v>41547</c:v>
                </c:pt>
                <c:pt idx="45">
                  <c:v>41578</c:v>
                </c:pt>
                <c:pt idx="46">
                  <c:v>41608</c:v>
                </c:pt>
                <c:pt idx="47">
                  <c:v>41639</c:v>
                </c:pt>
                <c:pt idx="48">
                  <c:v>41670</c:v>
                </c:pt>
                <c:pt idx="49">
                  <c:v>41698</c:v>
                </c:pt>
                <c:pt idx="50">
                  <c:v>41729</c:v>
                </c:pt>
                <c:pt idx="51">
                  <c:v>41759</c:v>
                </c:pt>
                <c:pt idx="52">
                  <c:v>41790</c:v>
                </c:pt>
                <c:pt idx="53">
                  <c:v>41820</c:v>
                </c:pt>
                <c:pt idx="54">
                  <c:v>41851</c:v>
                </c:pt>
                <c:pt idx="55">
                  <c:v>41882</c:v>
                </c:pt>
              </c:numCache>
            </c:numRef>
          </c:cat>
          <c:val>
            <c:numRef>
              <c:f>行业数据!$F$29:$F$84</c:f>
              <c:numCache>
                <c:formatCode>0.00%</c:formatCode>
                <c:ptCount val="56"/>
                <c:pt idx="0">
                  <c:v>0.43161344147591296</c:v>
                </c:pt>
                <c:pt idx="1">
                  <c:v>0.40735912199361385</c:v>
                </c:pt>
                <c:pt idx="2">
                  <c:v>0.38595502619742195</c:v>
                </c:pt>
                <c:pt idx="3">
                  <c:v>0.36582833479975546</c:v>
                </c:pt>
                <c:pt idx="4">
                  <c:v>0.36088736982586295</c:v>
                </c:pt>
                <c:pt idx="5">
                  <c:v>0.33618586816296747</c:v>
                </c:pt>
                <c:pt idx="6">
                  <c:v>0.33194839401427373</c:v>
                </c:pt>
                <c:pt idx="7">
                  <c:v>0.32976921583394292</c:v>
                </c:pt>
                <c:pt idx="8">
                  <c:v>0.31980195001513434</c:v>
                </c:pt>
                <c:pt idx="9">
                  <c:v>0.32284626811837586</c:v>
                </c:pt>
                <c:pt idx="10">
                  <c:v>0.31552048519039716</c:v>
                </c:pt>
                <c:pt idx="11">
                  <c:v>0.30444298539049569</c:v>
                </c:pt>
                <c:pt idx="12">
                  <c:v>4.4983717086969403E-2</c:v>
                </c:pt>
                <c:pt idx="13">
                  <c:v>3.1667602931236834E-2</c:v>
                </c:pt>
                <c:pt idx="14">
                  <c:v>1.6690062505716481E-2</c:v>
                </c:pt>
                <c:pt idx="15">
                  <c:v>9.3456500085450072E-3</c:v>
                </c:pt>
                <c:pt idx="16">
                  <c:v>4.5383408401253903E-3</c:v>
                </c:pt>
                <c:pt idx="17">
                  <c:v>7.2577127807811779E-3</c:v>
                </c:pt>
                <c:pt idx="18">
                  <c:v>1.7785335613365177E-3</c:v>
                </c:pt>
                <c:pt idx="19">
                  <c:v>-2.8370509597478444E-3</c:v>
                </c:pt>
                <c:pt idx="20">
                  <c:v>-6.2070428385865304E-3</c:v>
                </c:pt>
                <c:pt idx="21">
                  <c:v>-1.2869712858555982E-2</c:v>
                </c:pt>
                <c:pt idx="22">
                  <c:v>-1.3596958347628141E-2</c:v>
                </c:pt>
                <c:pt idx="23">
                  <c:v>-1.2990129667074215E-2</c:v>
                </c:pt>
                <c:pt idx="24">
                  <c:v>0.101856693126402</c:v>
                </c:pt>
                <c:pt idx="25">
                  <c:v>6.3639115215089678E-2</c:v>
                </c:pt>
                <c:pt idx="26">
                  <c:v>4.7140703406419716E-2</c:v>
                </c:pt>
                <c:pt idx="27">
                  <c:v>3.7501797822968107E-2</c:v>
                </c:pt>
                <c:pt idx="28">
                  <c:v>4.5904166685253295E-2</c:v>
                </c:pt>
                <c:pt idx="29">
                  <c:v>5.9064426195276298E-2</c:v>
                </c:pt>
                <c:pt idx="30">
                  <c:v>5.8683937888608199E-2</c:v>
                </c:pt>
                <c:pt idx="31">
                  <c:v>6.5216127736177382E-2</c:v>
                </c:pt>
                <c:pt idx="32">
                  <c:v>7.3040160712158686E-2</c:v>
                </c:pt>
                <c:pt idx="33">
                  <c:v>7.2855855579163617E-2</c:v>
                </c:pt>
                <c:pt idx="34">
                  <c:v>7.4443106020875893E-2</c:v>
                </c:pt>
                <c:pt idx="35">
                  <c:v>8.0107292160251767E-2</c:v>
                </c:pt>
                <c:pt idx="36">
                  <c:v>6.3488062226064956E-2</c:v>
                </c:pt>
                <c:pt idx="37">
                  <c:v>3.5152837668218431E-2</c:v>
                </c:pt>
                <c:pt idx="38">
                  <c:v>6.5312920381276535E-2</c:v>
                </c:pt>
                <c:pt idx="39">
                  <c:v>9.1972706939080551E-2</c:v>
                </c:pt>
                <c:pt idx="40">
                  <c:v>9.4031910805465233E-2</c:v>
                </c:pt>
                <c:pt idx="41">
                  <c:v>0.11484793541932432</c:v>
                </c:pt>
                <c:pt idx="42">
                  <c:v>0.11713876003664662</c:v>
                </c:pt>
                <c:pt idx="43">
                  <c:v>0.11330588980547757</c:v>
                </c:pt>
                <c:pt idx="44">
                  <c:v>0.11233922425083299</c:v>
                </c:pt>
                <c:pt idx="45">
                  <c:v>0.11570121699584378</c:v>
                </c:pt>
                <c:pt idx="46">
                  <c:v>0.11526092859946058</c:v>
                </c:pt>
                <c:pt idx="47">
                  <c:v>0.1119780200057594</c:v>
                </c:pt>
                <c:pt idx="48">
                  <c:v>0.67376118094456494</c:v>
                </c:pt>
                <c:pt idx="49">
                  <c:v>0.48558447056282217</c:v>
                </c:pt>
                <c:pt idx="50">
                  <c:v>0.35902506601153594</c:v>
                </c:pt>
                <c:pt idx="51">
                  <c:v>0.2929812964218188</c:v>
                </c:pt>
                <c:pt idx="52">
                  <c:v>0.26108192630401855</c:v>
                </c:pt>
                <c:pt idx="53">
                  <c:v>0.20776198539867341</c:v>
                </c:pt>
                <c:pt idx="54">
                  <c:v>0.19813641069191723</c:v>
                </c:pt>
                <c:pt idx="55">
                  <c:v>0.19401914079850946</c:v>
                </c:pt>
              </c:numCache>
            </c:numRef>
          </c:val>
          <c:smooth val="1"/>
        </c:ser>
        <c:ser>
          <c:idx val="1"/>
          <c:order val="1"/>
          <c:tx>
            <c:strRef>
              <c:f>行业数据!$G$3</c:f>
              <c:strCache>
                <c:ptCount val="1"/>
                <c:pt idx="0">
                  <c:v>营业费用同比增速</c:v>
                </c:pt>
              </c:strCache>
            </c:strRef>
          </c:tx>
          <c:spPr>
            <a:ln w="19050">
              <a:solidFill>
                <a:srgbClr val="C00000"/>
              </a:solidFill>
            </a:ln>
          </c:spPr>
          <c:marker>
            <c:symbol val="none"/>
          </c:marker>
          <c:cat>
            <c:numRef>
              <c:f>行业数据!$A$29:$A$84</c:f>
              <c:numCache>
                <c:formatCode>yyyy\-mm;@</c:formatCode>
                <c:ptCount val="56"/>
                <c:pt idx="0">
                  <c:v>40209</c:v>
                </c:pt>
                <c:pt idx="1">
                  <c:v>40237</c:v>
                </c:pt>
                <c:pt idx="2">
                  <c:v>40268</c:v>
                </c:pt>
                <c:pt idx="3">
                  <c:v>40298</c:v>
                </c:pt>
                <c:pt idx="4">
                  <c:v>40329</c:v>
                </c:pt>
                <c:pt idx="5">
                  <c:v>40359</c:v>
                </c:pt>
                <c:pt idx="6">
                  <c:v>40390</c:v>
                </c:pt>
                <c:pt idx="7">
                  <c:v>40421</c:v>
                </c:pt>
                <c:pt idx="8">
                  <c:v>40451</c:v>
                </c:pt>
                <c:pt idx="9">
                  <c:v>40482</c:v>
                </c:pt>
                <c:pt idx="10">
                  <c:v>40512</c:v>
                </c:pt>
                <c:pt idx="11">
                  <c:v>40543</c:v>
                </c:pt>
                <c:pt idx="12">
                  <c:v>40574</c:v>
                </c:pt>
                <c:pt idx="13">
                  <c:v>40602</c:v>
                </c:pt>
                <c:pt idx="14">
                  <c:v>40633</c:v>
                </c:pt>
                <c:pt idx="15">
                  <c:v>40663</c:v>
                </c:pt>
                <c:pt idx="16">
                  <c:v>40694</c:v>
                </c:pt>
                <c:pt idx="17">
                  <c:v>40724</c:v>
                </c:pt>
                <c:pt idx="18">
                  <c:v>40755</c:v>
                </c:pt>
                <c:pt idx="19">
                  <c:v>40786</c:v>
                </c:pt>
                <c:pt idx="20">
                  <c:v>40816</c:v>
                </c:pt>
                <c:pt idx="21">
                  <c:v>40847</c:v>
                </c:pt>
                <c:pt idx="22">
                  <c:v>40877</c:v>
                </c:pt>
                <c:pt idx="23">
                  <c:v>40908</c:v>
                </c:pt>
                <c:pt idx="24">
                  <c:v>40939</c:v>
                </c:pt>
                <c:pt idx="25">
                  <c:v>40968</c:v>
                </c:pt>
                <c:pt idx="26">
                  <c:v>40999</c:v>
                </c:pt>
                <c:pt idx="27">
                  <c:v>41029</c:v>
                </c:pt>
                <c:pt idx="28">
                  <c:v>41060</c:v>
                </c:pt>
                <c:pt idx="29">
                  <c:v>41090</c:v>
                </c:pt>
                <c:pt idx="30">
                  <c:v>41121</c:v>
                </c:pt>
                <c:pt idx="31">
                  <c:v>41152</c:v>
                </c:pt>
                <c:pt idx="32">
                  <c:v>41182</c:v>
                </c:pt>
                <c:pt idx="33">
                  <c:v>41213</c:v>
                </c:pt>
                <c:pt idx="34">
                  <c:v>41243</c:v>
                </c:pt>
                <c:pt idx="35">
                  <c:v>41274</c:v>
                </c:pt>
                <c:pt idx="36">
                  <c:v>41305</c:v>
                </c:pt>
                <c:pt idx="37">
                  <c:v>41333</c:v>
                </c:pt>
                <c:pt idx="38">
                  <c:v>41364</c:v>
                </c:pt>
                <c:pt idx="39">
                  <c:v>41394</c:v>
                </c:pt>
                <c:pt idx="40">
                  <c:v>41425</c:v>
                </c:pt>
                <c:pt idx="41">
                  <c:v>41455</c:v>
                </c:pt>
                <c:pt idx="42">
                  <c:v>41486</c:v>
                </c:pt>
                <c:pt idx="43">
                  <c:v>41517</c:v>
                </c:pt>
                <c:pt idx="44">
                  <c:v>41547</c:v>
                </c:pt>
                <c:pt idx="45">
                  <c:v>41578</c:v>
                </c:pt>
                <c:pt idx="46">
                  <c:v>41608</c:v>
                </c:pt>
                <c:pt idx="47">
                  <c:v>41639</c:v>
                </c:pt>
                <c:pt idx="48">
                  <c:v>41670</c:v>
                </c:pt>
                <c:pt idx="49">
                  <c:v>41698</c:v>
                </c:pt>
                <c:pt idx="50">
                  <c:v>41729</c:v>
                </c:pt>
                <c:pt idx="51">
                  <c:v>41759</c:v>
                </c:pt>
                <c:pt idx="52">
                  <c:v>41790</c:v>
                </c:pt>
                <c:pt idx="53">
                  <c:v>41820</c:v>
                </c:pt>
                <c:pt idx="54">
                  <c:v>41851</c:v>
                </c:pt>
                <c:pt idx="55">
                  <c:v>41882</c:v>
                </c:pt>
              </c:numCache>
            </c:numRef>
          </c:cat>
          <c:val>
            <c:numRef>
              <c:f>行业数据!$G$29:$G$84</c:f>
              <c:numCache>
                <c:formatCode>0.00%</c:formatCode>
                <c:ptCount val="56"/>
                <c:pt idx="0">
                  <c:v>0.13528890916171091</c:v>
                </c:pt>
                <c:pt idx="1">
                  <c:v>0.18966110096581271</c:v>
                </c:pt>
                <c:pt idx="2">
                  <c:v>0.22089810165430879</c:v>
                </c:pt>
                <c:pt idx="3">
                  <c:v>0.23087940108970684</c:v>
                </c:pt>
                <c:pt idx="4">
                  <c:v>0.23633274704718479</c:v>
                </c:pt>
                <c:pt idx="5">
                  <c:v>0.24615824435690417</c:v>
                </c:pt>
                <c:pt idx="6">
                  <c:v>0.22163180888053802</c:v>
                </c:pt>
                <c:pt idx="7">
                  <c:v>0.23441693113671042</c:v>
                </c:pt>
                <c:pt idx="8">
                  <c:v>0.2326882133528379</c:v>
                </c:pt>
                <c:pt idx="9">
                  <c:v>0.24540519863306198</c:v>
                </c:pt>
                <c:pt idx="10">
                  <c:v>0.24833163767366884</c:v>
                </c:pt>
                <c:pt idx="11">
                  <c:v>0.24657888123981508</c:v>
                </c:pt>
                <c:pt idx="12">
                  <c:v>0.3691467738536432</c:v>
                </c:pt>
                <c:pt idx="13">
                  <c:v>0.20753841889459496</c:v>
                </c:pt>
                <c:pt idx="14">
                  <c:v>0.20636684361950075</c:v>
                </c:pt>
                <c:pt idx="15">
                  <c:v>0.19834016945173949</c:v>
                </c:pt>
                <c:pt idx="16">
                  <c:v>0.22039984326595619</c:v>
                </c:pt>
                <c:pt idx="17">
                  <c:v>0.21565774191542303</c:v>
                </c:pt>
                <c:pt idx="18">
                  <c:v>0.22268847596075667</c:v>
                </c:pt>
                <c:pt idx="19">
                  <c:v>0.22881472136445757</c:v>
                </c:pt>
                <c:pt idx="20">
                  <c:v>0.23263884532871867</c:v>
                </c:pt>
                <c:pt idx="21">
                  <c:v>0.22270638925814823</c:v>
                </c:pt>
                <c:pt idx="22">
                  <c:v>0.22107280519691552</c:v>
                </c:pt>
                <c:pt idx="23">
                  <c:v>0.22363450986919142</c:v>
                </c:pt>
                <c:pt idx="24">
                  <c:v>0.18461978232859141</c:v>
                </c:pt>
                <c:pt idx="25">
                  <c:v>0.22777414141014091</c:v>
                </c:pt>
                <c:pt idx="26">
                  <c:v>0.21226564345840643</c:v>
                </c:pt>
                <c:pt idx="27">
                  <c:v>0.21122418038332427</c:v>
                </c:pt>
                <c:pt idx="28">
                  <c:v>0.18414157738565318</c:v>
                </c:pt>
                <c:pt idx="29">
                  <c:v>0.18217858978828172</c:v>
                </c:pt>
                <c:pt idx="30">
                  <c:v>0.17170557929846786</c:v>
                </c:pt>
                <c:pt idx="31">
                  <c:v>0.17123347948944703</c:v>
                </c:pt>
                <c:pt idx="32">
                  <c:v>0.17036697060377218</c:v>
                </c:pt>
                <c:pt idx="33">
                  <c:v>0.17331545525416664</c:v>
                </c:pt>
                <c:pt idx="34">
                  <c:v>0.17405932147932768</c:v>
                </c:pt>
                <c:pt idx="35">
                  <c:v>0.15357283340205521</c:v>
                </c:pt>
                <c:pt idx="36">
                  <c:v>0.20204634014831163</c:v>
                </c:pt>
                <c:pt idx="37">
                  <c:v>0.18568373273867356</c:v>
                </c:pt>
                <c:pt idx="38">
                  <c:v>0.16764747411788145</c:v>
                </c:pt>
                <c:pt idx="39">
                  <c:v>0.16649385166303654</c:v>
                </c:pt>
                <c:pt idx="40">
                  <c:v>0.17534053759540943</c:v>
                </c:pt>
                <c:pt idx="41">
                  <c:v>0.16340328449151056</c:v>
                </c:pt>
                <c:pt idx="42">
                  <c:v>0.16889997160242431</c:v>
                </c:pt>
                <c:pt idx="43">
                  <c:v>0.16049346535456199</c:v>
                </c:pt>
                <c:pt idx="44">
                  <c:v>0.1453712205107914</c:v>
                </c:pt>
                <c:pt idx="45">
                  <c:v>0.13777620280956349</c:v>
                </c:pt>
                <c:pt idx="46">
                  <c:v>0.13445988230444791</c:v>
                </c:pt>
                <c:pt idx="47">
                  <c:v>0.1326866503022508</c:v>
                </c:pt>
                <c:pt idx="48">
                  <c:v>0.15920316622082309</c:v>
                </c:pt>
                <c:pt idx="49">
                  <c:v>0.11710583968907784</c:v>
                </c:pt>
                <c:pt idx="50">
                  <c:v>0.12307569183283509</c:v>
                </c:pt>
                <c:pt idx="51">
                  <c:v>0.11998752631157171</c:v>
                </c:pt>
                <c:pt idx="52">
                  <c:v>0.11404263585557306</c:v>
                </c:pt>
                <c:pt idx="53">
                  <c:v>0.12179968650128184</c:v>
                </c:pt>
                <c:pt idx="54">
                  <c:v>0.11258377554598935</c:v>
                </c:pt>
                <c:pt idx="55">
                  <c:v>0.11632866946601317</c:v>
                </c:pt>
              </c:numCache>
            </c:numRef>
          </c:val>
          <c:smooth val="1"/>
        </c:ser>
        <c:marker val="1"/>
        <c:axId val="152929024"/>
        <c:axId val="152930944"/>
      </c:lineChart>
      <c:dateAx>
        <c:axId val="152929024"/>
        <c:scaling>
          <c:orientation val="minMax"/>
        </c:scaling>
        <c:axPos val="b"/>
        <c:numFmt formatCode="yyyy\-mm;@" sourceLinked="1"/>
        <c:tickLblPos val="nextTo"/>
        <c:txPr>
          <a:bodyPr/>
          <a:lstStyle/>
          <a:p>
            <a:pPr>
              <a:defRPr lang="en-CA" sz="800" baseline="0"/>
            </a:pPr>
            <a:endParaRPr lang="zh-CN"/>
          </a:p>
        </c:txPr>
        <c:crossAx val="152930944"/>
        <c:crosses val="autoZero"/>
        <c:auto val="1"/>
        <c:lblOffset val="100"/>
      </c:dateAx>
      <c:valAx>
        <c:axId val="152930944"/>
        <c:scaling>
          <c:orientation val="minMax"/>
        </c:scaling>
        <c:axPos val="l"/>
        <c:majorGridlines>
          <c:spPr>
            <a:ln>
              <a:prstDash val="sysDash"/>
            </a:ln>
          </c:spPr>
        </c:majorGridlines>
        <c:numFmt formatCode="0%" sourceLinked="0"/>
        <c:tickLblPos val="nextTo"/>
        <c:txPr>
          <a:bodyPr/>
          <a:lstStyle/>
          <a:p>
            <a:pPr>
              <a:defRPr lang="en-CA" sz="800" baseline="0"/>
            </a:pPr>
            <a:endParaRPr lang="zh-CN"/>
          </a:p>
        </c:txPr>
        <c:crossAx val="152929024"/>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dPt>
            <c:idx val="0"/>
            <c:spPr>
              <a:solidFill>
                <a:srgbClr val="C00000"/>
              </a:solidFill>
            </c:spPr>
          </c:dPt>
          <c:dPt>
            <c:idx val="1"/>
            <c:spPr>
              <a:solidFill>
                <a:srgbClr val="0070C0"/>
              </a:solidFill>
            </c:spPr>
          </c:dPt>
          <c:dPt>
            <c:idx val="2"/>
            <c:spPr>
              <a:solidFill>
                <a:srgbClr val="92D050"/>
              </a:solidFill>
            </c:spPr>
          </c:dPt>
          <c:dPt>
            <c:idx val="3"/>
            <c:spPr>
              <a:solidFill>
                <a:srgbClr val="FFC000"/>
              </a:solidFill>
            </c:spPr>
          </c:dPt>
          <c:dLbls>
            <c:txPr>
              <a:bodyPr/>
              <a:lstStyle/>
              <a:p>
                <a:pPr>
                  <a:defRPr lang="en-CA" sz="800" baseline="0"/>
                </a:pPr>
                <a:endParaRPr lang="zh-CN"/>
              </a:p>
            </c:txPr>
            <c:showVal val="1"/>
          </c:dLbls>
          <c:cat>
            <c:strRef>
              <c:f>行业数据!$Q$3:$T$3</c:f>
              <c:strCache>
                <c:ptCount val="4"/>
                <c:pt idx="0">
                  <c:v>寿险</c:v>
                </c:pt>
                <c:pt idx="1">
                  <c:v>健康险</c:v>
                </c:pt>
                <c:pt idx="2">
                  <c:v>人身险</c:v>
                </c:pt>
                <c:pt idx="3">
                  <c:v>财产险</c:v>
                </c:pt>
              </c:strCache>
            </c:strRef>
          </c:cat>
          <c:val>
            <c:numRef>
              <c:f>行业数据!$Q$84:$T$84</c:f>
              <c:numCache>
                <c:formatCode>0.00%</c:formatCode>
                <c:ptCount val="4"/>
                <c:pt idx="0">
                  <c:v>0.18196816587530584</c:v>
                </c:pt>
                <c:pt idx="1">
                  <c:v>0.49870542974679166</c:v>
                </c:pt>
                <c:pt idx="2">
                  <c:v>0.2115493434071051</c:v>
                </c:pt>
                <c:pt idx="3">
                  <c:v>0.16031303946395892</c:v>
                </c:pt>
              </c:numCache>
            </c:numRef>
          </c:val>
        </c:ser>
        <c:axId val="193552384"/>
        <c:axId val="193555840"/>
      </c:barChart>
      <c:catAx>
        <c:axId val="193552384"/>
        <c:scaling>
          <c:orientation val="minMax"/>
        </c:scaling>
        <c:axPos val="b"/>
        <c:tickLblPos val="nextTo"/>
        <c:txPr>
          <a:bodyPr/>
          <a:lstStyle/>
          <a:p>
            <a:pPr>
              <a:defRPr lang="en-CA" sz="800" baseline="0"/>
            </a:pPr>
            <a:endParaRPr lang="zh-CN"/>
          </a:p>
        </c:txPr>
        <c:crossAx val="193555840"/>
        <c:crosses val="autoZero"/>
        <c:auto val="1"/>
        <c:lblAlgn val="ctr"/>
        <c:lblOffset val="100"/>
      </c:catAx>
      <c:valAx>
        <c:axId val="193555840"/>
        <c:scaling>
          <c:orientation val="minMax"/>
        </c:scaling>
        <c:axPos val="l"/>
        <c:majorGridlines>
          <c:spPr>
            <a:ln>
              <a:prstDash val="sysDash"/>
            </a:ln>
          </c:spPr>
        </c:majorGridlines>
        <c:numFmt formatCode="0%" sourceLinked="0"/>
        <c:tickLblPos val="nextTo"/>
        <c:txPr>
          <a:bodyPr/>
          <a:lstStyle/>
          <a:p>
            <a:pPr>
              <a:defRPr lang="en-CA" sz="800" baseline="0"/>
            </a:pPr>
            <a:endParaRPr lang="zh-CN"/>
          </a:p>
        </c:txPr>
        <c:crossAx val="193552384"/>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行业数据!$AF$3</c:f>
              <c:strCache>
                <c:ptCount val="1"/>
                <c:pt idx="0">
                  <c:v>债券占保险资金运用余额</c:v>
                </c:pt>
              </c:strCache>
            </c:strRef>
          </c:tx>
          <c:spPr>
            <a:ln w="19050">
              <a:solidFill>
                <a:srgbClr val="C00000"/>
              </a:solidFill>
            </a:ln>
          </c:spPr>
          <c:marker>
            <c:symbol val="circle"/>
            <c:size val="3"/>
            <c:spPr>
              <a:solidFill>
                <a:srgbClr val="C00000"/>
              </a:solidFill>
              <a:ln>
                <a:solidFill>
                  <a:srgbClr val="C00000"/>
                </a:solidFill>
              </a:ln>
            </c:spPr>
          </c:marker>
          <c:cat>
            <c:numRef>
              <c:f>行业数据!$W$8:$W$24</c:f>
              <c:numCache>
                <c:formatCode>yyyy\-mm;@</c:formatCode>
                <c:ptCount val="17"/>
                <c:pt idx="0">
                  <c:v>41394</c:v>
                </c:pt>
                <c:pt idx="1">
                  <c:v>41425</c:v>
                </c:pt>
                <c:pt idx="2">
                  <c:v>41455</c:v>
                </c:pt>
                <c:pt idx="3">
                  <c:v>41486</c:v>
                </c:pt>
                <c:pt idx="4">
                  <c:v>41517</c:v>
                </c:pt>
                <c:pt idx="5">
                  <c:v>41547</c:v>
                </c:pt>
                <c:pt idx="6">
                  <c:v>41578</c:v>
                </c:pt>
                <c:pt idx="7">
                  <c:v>41608</c:v>
                </c:pt>
                <c:pt idx="8">
                  <c:v>41639</c:v>
                </c:pt>
                <c:pt idx="9">
                  <c:v>41670</c:v>
                </c:pt>
                <c:pt idx="10">
                  <c:v>41698</c:v>
                </c:pt>
                <c:pt idx="11">
                  <c:v>41729</c:v>
                </c:pt>
                <c:pt idx="12">
                  <c:v>41759</c:v>
                </c:pt>
                <c:pt idx="13">
                  <c:v>41790</c:v>
                </c:pt>
                <c:pt idx="14">
                  <c:v>41820</c:v>
                </c:pt>
                <c:pt idx="15">
                  <c:v>41851</c:v>
                </c:pt>
                <c:pt idx="16">
                  <c:v>41882</c:v>
                </c:pt>
              </c:numCache>
            </c:numRef>
          </c:cat>
          <c:val>
            <c:numRef>
              <c:f>行业数据!$AF$8:$AF$24</c:f>
              <c:numCache>
                <c:formatCode>0.00%</c:formatCode>
                <c:ptCount val="17"/>
                <c:pt idx="0">
                  <c:v>0.45629403126102175</c:v>
                </c:pt>
                <c:pt idx="1">
                  <c:v>0.45042867832235634</c:v>
                </c:pt>
                <c:pt idx="2">
                  <c:v>0.4442245542211245</c:v>
                </c:pt>
                <c:pt idx="3">
                  <c:v>0.44752144423597756</c:v>
                </c:pt>
                <c:pt idx="4">
                  <c:v>0.44914524812643764</c:v>
                </c:pt>
                <c:pt idx="5">
                  <c:v>0.43819518824922782</c:v>
                </c:pt>
                <c:pt idx="6">
                  <c:v>0.44482880159692911</c:v>
                </c:pt>
                <c:pt idx="7">
                  <c:v>0.44547609225164991</c:v>
                </c:pt>
                <c:pt idx="8">
                  <c:v>0.43416078459378882</c:v>
                </c:pt>
                <c:pt idx="9">
                  <c:v>0.43593582477976206</c:v>
                </c:pt>
                <c:pt idx="10">
                  <c:v>0.43256663816973251</c:v>
                </c:pt>
                <c:pt idx="11">
                  <c:v>0.41859052713341038</c:v>
                </c:pt>
                <c:pt idx="12">
                  <c:v>0.42892409831659417</c:v>
                </c:pt>
                <c:pt idx="13">
                  <c:v>0.42925661815338334</c:v>
                </c:pt>
                <c:pt idx="14">
                  <c:v>0.41481962279050838</c:v>
                </c:pt>
                <c:pt idx="15">
                  <c:v>0.41732946897817774</c:v>
                </c:pt>
                <c:pt idx="16">
                  <c:v>0.41425988383489115</c:v>
                </c:pt>
              </c:numCache>
            </c:numRef>
          </c:val>
          <c:smooth val="1"/>
        </c:ser>
        <c:marker val="1"/>
        <c:axId val="195746432"/>
        <c:axId val="195749760"/>
      </c:lineChart>
      <c:dateAx>
        <c:axId val="195746432"/>
        <c:scaling>
          <c:orientation val="minMax"/>
        </c:scaling>
        <c:axPos val="b"/>
        <c:numFmt formatCode="yyyy\-mm;@" sourceLinked="1"/>
        <c:tickLblPos val="nextTo"/>
        <c:txPr>
          <a:bodyPr/>
          <a:lstStyle/>
          <a:p>
            <a:pPr>
              <a:defRPr lang="en-CA" sz="800" baseline="0"/>
            </a:pPr>
            <a:endParaRPr lang="zh-CN"/>
          </a:p>
        </c:txPr>
        <c:crossAx val="195749760"/>
        <c:crosses val="autoZero"/>
        <c:auto val="1"/>
        <c:lblOffset val="100"/>
      </c:dateAx>
      <c:valAx>
        <c:axId val="195749760"/>
        <c:scaling>
          <c:orientation val="minMax"/>
        </c:scaling>
        <c:axPos val="l"/>
        <c:majorGridlines>
          <c:spPr>
            <a:ln>
              <a:prstDash val="sysDash"/>
            </a:ln>
          </c:spPr>
        </c:majorGridlines>
        <c:numFmt formatCode="0%" sourceLinked="0"/>
        <c:tickLblPos val="nextTo"/>
        <c:txPr>
          <a:bodyPr/>
          <a:lstStyle/>
          <a:p>
            <a:pPr>
              <a:defRPr lang="en-CA" sz="800" baseline="0"/>
            </a:pPr>
            <a:endParaRPr lang="zh-CN"/>
          </a:p>
        </c:txPr>
        <c:crossAx val="195746432"/>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6680885866863525E-2"/>
          <c:y val="5.1400554097404488E-2"/>
          <c:w val="0.87120973514674305"/>
          <c:h val="0.6589243650606631"/>
        </c:manualLayout>
      </c:layout>
      <c:lineChart>
        <c:grouping val="standard"/>
        <c:ser>
          <c:idx val="0"/>
          <c:order val="0"/>
          <c:tx>
            <c:strRef>
              <c:f>行业数据!$AJ$3</c:f>
              <c:strCache>
                <c:ptCount val="1"/>
                <c:pt idx="0">
                  <c:v>中证10债(净价)累积涨跌幅(%)</c:v>
                </c:pt>
              </c:strCache>
            </c:strRef>
          </c:tx>
          <c:spPr>
            <a:ln w="19050">
              <a:solidFill>
                <a:srgbClr val="C00000"/>
              </a:solidFill>
            </a:ln>
          </c:spPr>
          <c:marker>
            <c:symbol val="none"/>
          </c:marker>
          <c:cat>
            <c:numRef>
              <c:f>行业数据!$AH$5:$AH$46</c:f>
              <c:numCache>
                <c:formatCode>yyyymmdd</c:formatCode>
                <c:ptCount val="42"/>
                <c:pt idx="0">
                  <c:v>41642</c:v>
                </c:pt>
                <c:pt idx="1">
                  <c:v>41649</c:v>
                </c:pt>
                <c:pt idx="2">
                  <c:v>41656</c:v>
                </c:pt>
                <c:pt idx="3">
                  <c:v>41663</c:v>
                </c:pt>
                <c:pt idx="4">
                  <c:v>41669</c:v>
                </c:pt>
                <c:pt idx="5">
                  <c:v>41677</c:v>
                </c:pt>
                <c:pt idx="6">
                  <c:v>41684</c:v>
                </c:pt>
                <c:pt idx="7">
                  <c:v>41691</c:v>
                </c:pt>
                <c:pt idx="8">
                  <c:v>41698</c:v>
                </c:pt>
                <c:pt idx="9">
                  <c:v>41705</c:v>
                </c:pt>
                <c:pt idx="10">
                  <c:v>41712</c:v>
                </c:pt>
                <c:pt idx="11">
                  <c:v>41719</c:v>
                </c:pt>
                <c:pt idx="12">
                  <c:v>41726</c:v>
                </c:pt>
                <c:pt idx="13">
                  <c:v>41733</c:v>
                </c:pt>
                <c:pt idx="14">
                  <c:v>41740</c:v>
                </c:pt>
                <c:pt idx="15">
                  <c:v>41747</c:v>
                </c:pt>
                <c:pt idx="16">
                  <c:v>41754</c:v>
                </c:pt>
                <c:pt idx="17">
                  <c:v>41759</c:v>
                </c:pt>
                <c:pt idx="18">
                  <c:v>41768</c:v>
                </c:pt>
                <c:pt idx="19">
                  <c:v>41775</c:v>
                </c:pt>
                <c:pt idx="20">
                  <c:v>41782</c:v>
                </c:pt>
                <c:pt idx="21">
                  <c:v>41789</c:v>
                </c:pt>
                <c:pt idx="22">
                  <c:v>41796</c:v>
                </c:pt>
                <c:pt idx="23">
                  <c:v>41803</c:v>
                </c:pt>
                <c:pt idx="24">
                  <c:v>41810</c:v>
                </c:pt>
                <c:pt idx="25" formatCode="General">
                  <c:v>20140627</c:v>
                </c:pt>
                <c:pt idx="26" formatCode="General">
                  <c:v>20140704</c:v>
                </c:pt>
                <c:pt idx="27" formatCode="General">
                  <c:v>20140711</c:v>
                </c:pt>
                <c:pt idx="28" formatCode="General">
                  <c:v>20140718</c:v>
                </c:pt>
                <c:pt idx="29" formatCode="General">
                  <c:v>20140725</c:v>
                </c:pt>
                <c:pt idx="30" formatCode="General">
                  <c:v>20140801</c:v>
                </c:pt>
                <c:pt idx="31" formatCode="General">
                  <c:v>20140808</c:v>
                </c:pt>
                <c:pt idx="32" formatCode="General">
                  <c:v>20140815</c:v>
                </c:pt>
                <c:pt idx="33" formatCode="General">
                  <c:v>20140822</c:v>
                </c:pt>
                <c:pt idx="34" formatCode="yyyy/m/d">
                  <c:v>41880</c:v>
                </c:pt>
                <c:pt idx="35" formatCode="yyyy/m/d">
                  <c:v>41887</c:v>
                </c:pt>
                <c:pt idx="36" formatCode="yyyy/m/d">
                  <c:v>41894</c:v>
                </c:pt>
                <c:pt idx="37" formatCode="yyyy/m/d">
                  <c:v>41901</c:v>
                </c:pt>
                <c:pt idx="38" formatCode="yyyy/m/d">
                  <c:v>41908</c:v>
                </c:pt>
                <c:pt idx="39" formatCode="yyyy/m/d">
                  <c:v>41912</c:v>
                </c:pt>
                <c:pt idx="40" formatCode="yyyy/m/d">
                  <c:v>41922</c:v>
                </c:pt>
                <c:pt idx="41" formatCode="yyyy/m/d">
                  <c:v>41929</c:v>
                </c:pt>
              </c:numCache>
            </c:numRef>
          </c:cat>
          <c:val>
            <c:numRef>
              <c:f>行业数据!$AJ$5:$AJ$46</c:f>
              <c:numCache>
                <c:formatCode>General</c:formatCode>
                <c:ptCount val="42"/>
                <c:pt idx="0">
                  <c:v>-0.29000000000000004</c:v>
                </c:pt>
                <c:pt idx="1">
                  <c:v>-0.24810000000000001</c:v>
                </c:pt>
                <c:pt idx="2">
                  <c:v>-0.26370000000000005</c:v>
                </c:pt>
                <c:pt idx="3">
                  <c:v>0.23240000000000002</c:v>
                </c:pt>
                <c:pt idx="4">
                  <c:v>0.57400000000000018</c:v>
                </c:pt>
                <c:pt idx="5">
                  <c:v>0.68500000000000005</c:v>
                </c:pt>
                <c:pt idx="6">
                  <c:v>0.64210000000000012</c:v>
                </c:pt>
                <c:pt idx="7">
                  <c:v>0.66150000000000009</c:v>
                </c:pt>
                <c:pt idx="8">
                  <c:v>1.9993000000000001</c:v>
                </c:pt>
                <c:pt idx="9">
                  <c:v>1.214</c:v>
                </c:pt>
                <c:pt idx="10">
                  <c:v>1.5512999999999997</c:v>
                </c:pt>
                <c:pt idx="11">
                  <c:v>1.43</c:v>
                </c:pt>
                <c:pt idx="12">
                  <c:v>1.3445</c:v>
                </c:pt>
                <c:pt idx="13">
                  <c:v>0.94640000000000002</c:v>
                </c:pt>
                <c:pt idx="14">
                  <c:v>0.96030000000000004</c:v>
                </c:pt>
                <c:pt idx="15">
                  <c:v>1.9022000000000001</c:v>
                </c:pt>
                <c:pt idx="16">
                  <c:v>1.8582000000000001</c:v>
                </c:pt>
                <c:pt idx="17">
                  <c:v>1.9743000000000004</c:v>
                </c:pt>
                <c:pt idx="18">
                  <c:v>3.2589000000000001</c:v>
                </c:pt>
                <c:pt idx="19">
                  <c:v>3.3253999999999997</c:v>
                </c:pt>
                <c:pt idx="20">
                  <c:v>3.3739000000000003</c:v>
                </c:pt>
                <c:pt idx="21">
                  <c:v>3.8375000000000004</c:v>
                </c:pt>
                <c:pt idx="22">
                  <c:v>4.663899999999999</c:v>
                </c:pt>
                <c:pt idx="23">
                  <c:v>4.4534000000000002</c:v>
                </c:pt>
                <c:pt idx="24">
                  <c:v>4.5386000000000015</c:v>
                </c:pt>
                <c:pt idx="25">
                  <c:v>4.7264000000000008</c:v>
                </c:pt>
                <c:pt idx="26">
                  <c:v>3.9919000000000007</c:v>
                </c:pt>
                <c:pt idx="27">
                  <c:v>3.9926000000000004</c:v>
                </c:pt>
                <c:pt idx="28">
                  <c:v>3.0745000000000009</c:v>
                </c:pt>
                <c:pt idx="29">
                  <c:v>3.2422000000000009</c:v>
                </c:pt>
                <c:pt idx="30">
                  <c:v>3.2987000000000011</c:v>
                </c:pt>
                <c:pt idx="31">
                  <c:v>3.3715000000000006</c:v>
                </c:pt>
                <c:pt idx="32">
                  <c:v>3.6695000000000011</c:v>
                </c:pt>
                <c:pt idx="33">
                  <c:v>3.6992000000000007</c:v>
                </c:pt>
                <c:pt idx="34">
                  <c:v>4.0493000000000023</c:v>
                </c:pt>
                <c:pt idx="35">
                  <c:v>4.0389000000000017</c:v>
                </c:pt>
                <c:pt idx="36">
                  <c:v>4.0040000000000004</c:v>
                </c:pt>
                <c:pt idx="37">
                  <c:v>4.986200000000002</c:v>
                </c:pt>
                <c:pt idx="38">
                  <c:v>5.3144999999999998</c:v>
                </c:pt>
                <c:pt idx="39">
                  <c:v>5.4663000000000004</c:v>
                </c:pt>
                <c:pt idx="40">
                  <c:v>5.3980999999999995</c:v>
                </c:pt>
                <c:pt idx="41">
                  <c:v>6.4468000000000014</c:v>
                </c:pt>
              </c:numCache>
            </c:numRef>
          </c:val>
          <c:smooth val="1"/>
        </c:ser>
        <c:marker val="1"/>
        <c:axId val="238876160"/>
        <c:axId val="238877696"/>
      </c:lineChart>
      <c:catAx>
        <c:axId val="238876160"/>
        <c:scaling>
          <c:orientation val="minMax"/>
        </c:scaling>
        <c:axPos val="b"/>
        <c:numFmt formatCode="yyyymmdd" sourceLinked="1"/>
        <c:tickLblPos val="nextTo"/>
        <c:txPr>
          <a:bodyPr/>
          <a:lstStyle/>
          <a:p>
            <a:pPr>
              <a:defRPr lang="en-CA" sz="600" baseline="0"/>
            </a:pPr>
            <a:endParaRPr lang="zh-CN"/>
          </a:p>
        </c:txPr>
        <c:crossAx val="238877696"/>
        <c:crosses val="autoZero"/>
        <c:auto val="1"/>
        <c:lblAlgn val="ctr"/>
        <c:lblOffset val="100"/>
        <c:tickLblSkip val="4"/>
      </c:catAx>
      <c:valAx>
        <c:axId val="238877696"/>
        <c:scaling>
          <c:orientation val="minMax"/>
        </c:scaling>
        <c:axPos val="l"/>
        <c:majorGridlines>
          <c:spPr>
            <a:ln>
              <a:prstDash val="dash"/>
            </a:ln>
          </c:spPr>
        </c:majorGridlines>
        <c:numFmt formatCode="General" sourceLinked="1"/>
        <c:tickLblPos val="nextTo"/>
        <c:txPr>
          <a:bodyPr/>
          <a:lstStyle/>
          <a:p>
            <a:pPr>
              <a:defRPr lang="en-CA"/>
            </a:pPr>
            <a:endParaRPr lang="zh-CN"/>
          </a:p>
        </c:txPr>
        <c:crossAx val="238876160"/>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公司数据!$H$49</c:f>
              <c:strCache>
                <c:ptCount val="1"/>
                <c:pt idx="0">
                  <c:v>国寿</c:v>
                </c:pt>
              </c:strCache>
            </c:strRef>
          </c:tx>
          <c:spPr>
            <a:solidFill>
              <a:srgbClr val="C00000"/>
            </a:solidFill>
          </c:spPr>
          <c:cat>
            <c:strRef>
              <c:f>公司数据!$G$50:$G$58</c:f>
              <c:strCache>
                <c:ptCount val="9"/>
                <c:pt idx="0">
                  <c:v>1月</c:v>
                </c:pt>
                <c:pt idx="1">
                  <c:v>2月</c:v>
                </c:pt>
                <c:pt idx="2">
                  <c:v>3月</c:v>
                </c:pt>
                <c:pt idx="3">
                  <c:v>4月</c:v>
                </c:pt>
                <c:pt idx="4">
                  <c:v>5月</c:v>
                </c:pt>
                <c:pt idx="5">
                  <c:v>6月</c:v>
                </c:pt>
                <c:pt idx="6">
                  <c:v>7月</c:v>
                </c:pt>
                <c:pt idx="7">
                  <c:v>8月</c:v>
                </c:pt>
                <c:pt idx="8">
                  <c:v>9月</c:v>
                </c:pt>
              </c:strCache>
            </c:strRef>
          </c:cat>
          <c:val>
            <c:numRef>
              <c:f>公司数据!$H$50:$H$58</c:f>
              <c:numCache>
                <c:formatCode>0.00%</c:formatCode>
                <c:ptCount val="9"/>
                <c:pt idx="0">
                  <c:v>0.7289023896942558</c:v>
                </c:pt>
                <c:pt idx="1">
                  <c:v>-0.21056395941282774</c:v>
                </c:pt>
                <c:pt idx="2">
                  <c:v>-0.21351660870272529</c:v>
                </c:pt>
                <c:pt idx="3">
                  <c:v>-0.34060784487251505</c:v>
                </c:pt>
                <c:pt idx="4">
                  <c:v>-2.785115901282232E-2</c:v>
                </c:pt>
                <c:pt idx="5">
                  <c:v>-0.36456896025668784</c:v>
                </c:pt>
                <c:pt idx="6">
                  <c:v>-0.19597213532897961</c:v>
                </c:pt>
                <c:pt idx="7">
                  <c:v>2.8909739396171474E-2</c:v>
                </c:pt>
                <c:pt idx="8">
                  <c:v>0.10974479258632955</c:v>
                </c:pt>
              </c:numCache>
            </c:numRef>
          </c:val>
        </c:ser>
        <c:axId val="240075904"/>
        <c:axId val="240077824"/>
      </c:barChart>
      <c:catAx>
        <c:axId val="240075904"/>
        <c:scaling>
          <c:orientation val="minMax"/>
        </c:scaling>
        <c:axPos val="b"/>
        <c:numFmt formatCode="General" sourceLinked="1"/>
        <c:tickLblPos val="nextTo"/>
        <c:txPr>
          <a:bodyPr/>
          <a:lstStyle/>
          <a:p>
            <a:pPr>
              <a:defRPr lang="en-CA" sz="800" baseline="0"/>
            </a:pPr>
            <a:endParaRPr lang="zh-CN"/>
          </a:p>
        </c:txPr>
        <c:crossAx val="240077824"/>
        <c:crosses val="autoZero"/>
        <c:auto val="1"/>
        <c:lblAlgn val="ctr"/>
        <c:lblOffset val="100"/>
      </c:catAx>
      <c:valAx>
        <c:axId val="240077824"/>
        <c:scaling>
          <c:orientation val="minMax"/>
        </c:scaling>
        <c:axPos val="l"/>
        <c:majorGridlines>
          <c:spPr>
            <a:ln w="6350">
              <a:solidFill>
                <a:schemeClr val="tx1">
                  <a:lumMod val="50000"/>
                  <a:lumOff val="50000"/>
                </a:schemeClr>
              </a:solidFill>
              <a:prstDash val="sysDash"/>
            </a:ln>
          </c:spPr>
        </c:majorGridlines>
        <c:numFmt formatCode="0%" sourceLinked="0"/>
        <c:tickLblPos val="nextTo"/>
        <c:txPr>
          <a:bodyPr/>
          <a:lstStyle/>
          <a:p>
            <a:pPr>
              <a:defRPr lang="en-CA" sz="800" baseline="0"/>
            </a:pPr>
            <a:endParaRPr lang="zh-CN"/>
          </a:p>
        </c:txPr>
        <c:crossAx val="240075904"/>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公司数据!$I$49</c:f>
              <c:strCache>
                <c:ptCount val="1"/>
                <c:pt idx="0">
                  <c:v>平安</c:v>
                </c:pt>
              </c:strCache>
            </c:strRef>
          </c:tx>
          <c:spPr>
            <a:solidFill>
              <a:srgbClr val="FFC000"/>
            </a:solidFill>
          </c:spPr>
          <c:cat>
            <c:strRef>
              <c:f>公司数据!$G$50:$G$58</c:f>
              <c:strCache>
                <c:ptCount val="9"/>
                <c:pt idx="0">
                  <c:v>1月</c:v>
                </c:pt>
                <c:pt idx="1">
                  <c:v>2月</c:v>
                </c:pt>
                <c:pt idx="2">
                  <c:v>3月</c:v>
                </c:pt>
                <c:pt idx="3">
                  <c:v>4月</c:v>
                </c:pt>
                <c:pt idx="4">
                  <c:v>5月</c:v>
                </c:pt>
                <c:pt idx="5">
                  <c:v>6月</c:v>
                </c:pt>
                <c:pt idx="6">
                  <c:v>7月</c:v>
                </c:pt>
                <c:pt idx="7">
                  <c:v>8月</c:v>
                </c:pt>
                <c:pt idx="8">
                  <c:v>9月</c:v>
                </c:pt>
              </c:strCache>
            </c:strRef>
          </c:cat>
          <c:val>
            <c:numRef>
              <c:f>公司数据!$I$50:$I$58</c:f>
              <c:numCache>
                <c:formatCode>0.00%</c:formatCode>
                <c:ptCount val="9"/>
                <c:pt idx="0">
                  <c:v>0.44770361957792804</c:v>
                </c:pt>
                <c:pt idx="1">
                  <c:v>0.12275052904658604</c:v>
                </c:pt>
                <c:pt idx="2">
                  <c:v>0.10013411569487295</c:v>
                </c:pt>
                <c:pt idx="3">
                  <c:v>0.13233066599156437</c:v>
                </c:pt>
                <c:pt idx="4">
                  <c:v>0.10508556606554342</c:v>
                </c:pt>
                <c:pt idx="5">
                  <c:v>0.15357350427909533</c:v>
                </c:pt>
                <c:pt idx="6">
                  <c:v>0.16556312373890988</c:v>
                </c:pt>
                <c:pt idx="7">
                  <c:v>0.13286053413477061</c:v>
                </c:pt>
                <c:pt idx="8">
                  <c:v>0.17243102686730397</c:v>
                </c:pt>
              </c:numCache>
            </c:numRef>
          </c:val>
        </c:ser>
        <c:axId val="260542464"/>
        <c:axId val="260544000"/>
      </c:barChart>
      <c:catAx>
        <c:axId val="260542464"/>
        <c:scaling>
          <c:orientation val="minMax"/>
        </c:scaling>
        <c:axPos val="b"/>
        <c:numFmt formatCode="General" sourceLinked="1"/>
        <c:tickLblPos val="nextTo"/>
        <c:txPr>
          <a:bodyPr/>
          <a:lstStyle/>
          <a:p>
            <a:pPr>
              <a:defRPr lang="en-CA" sz="800" baseline="0"/>
            </a:pPr>
            <a:endParaRPr lang="zh-CN"/>
          </a:p>
        </c:txPr>
        <c:crossAx val="260544000"/>
        <c:crosses val="autoZero"/>
        <c:auto val="1"/>
        <c:lblAlgn val="ctr"/>
        <c:lblOffset val="100"/>
      </c:catAx>
      <c:valAx>
        <c:axId val="260544000"/>
        <c:scaling>
          <c:orientation val="minMax"/>
        </c:scaling>
        <c:axPos val="l"/>
        <c:majorGridlines>
          <c:spPr>
            <a:ln w="6350">
              <a:prstDash val="sysDash"/>
            </a:ln>
          </c:spPr>
        </c:majorGridlines>
        <c:numFmt formatCode="0%" sourceLinked="0"/>
        <c:tickLblPos val="nextTo"/>
        <c:txPr>
          <a:bodyPr/>
          <a:lstStyle/>
          <a:p>
            <a:pPr>
              <a:defRPr lang="en-CA" sz="800" baseline="0"/>
            </a:pPr>
            <a:endParaRPr lang="zh-CN"/>
          </a:p>
        </c:txPr>
        <c:crossAx val="260542464"/>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公司数据!$J$49</c:f>
              <c:strCache>
                <c:ptCount val="1"/>
                <c:pt idx="0">
                  <c:v>太保</c:v>
                </c:pt>
              </c:strCache>
            </c:strRef>
          </c:tx>
          <c:spPr>
            <a:solidFill>
              <a:srgbClr val="92D050"/>
            </a:solidFill>
          </c:spPr>
          <c:cat>
            <c:strRef>
              <c:f>公司数据!$G$50:$G$58</c:f>
              <c:strCache>
                <c:ptCount val="9"/>
                <c:pt idx="0">
                  <c:v>1月</c:v>
                </c:pt>
                <c:pt idx="1">
                  <c:v>2月</c:v>
                </c:pt>
                <c:pt idx="2">
                  <c:v>3月</c:v>
                </c:pt>
                <c:pt idx="3">
                  <c:v>4月</c:v>
                </c:pt>
                <c:pt idx="4">
                  <c:v>5月</c:v>
                </c:pt>
                <c:pt idx="5">
                  <c:v>6月</c:v>
                </c:pt>
                <c:pt idx="6">
                  <c:v>7月</c:v>
                </c:pt>
                <c:pt idx="7">
                  <c:v>8月</c:v>
                </c:pt>
                <c:pt idx="8">
                  <c:v>9月</c:v>
                </c:pt>
              </c:strCache>
            </c:strRef>
          </c:cat>
          <c:val>
            <c:numRef>
              <c:f>公司数据!$J$50:$J$58</c:f>
              <c:numCache>
                <c:formatCode>0.00%</c:formatCode>
                <c:ptCount val="9"/>
                <c:pt idx="0">
                  <c:v>0.31354945008867241</c:v>
                </c:pt>
                <c:pt idx="1">
                  <c:v>0.28598460664903352</c:v>
                </c:pt>
                <c:pt idx="2">
                  <c:v>0.16002041822509505</c:v>
                </c:pt>
                <c:pt idx="3">
                  <c:v>-0.14292223245825278</c:v>
                </c:pt>
                <c:pt idx="4">
                  <c:v>-0.17083347785681738</c:v>
                </c:pt>
                <c:pt idx="5">
                  <c:v>-0.13220703590129748</c:v>
                </c:pt>
                <c:pt idx="6">
                  <c:v>-2.8260198928212969E-2</c:v>
                </c:pt>
                <c:pt idx="7">
                  <c:v>1.3039300167827508E-3</c:v>
                </c:pt>
                <c:pt idx="8">
                  <c:v>1.2724096363122552E-2</c:v>
                </c:pt>
              </c:numCache>
            </c:numRef>
          </c:val>
        </c:ser>
        <c:axId val="262087040"/>
        <c:axId val="262090752"/>
      </c:barChart>
      <c:catAx>
        <c:axId val="262087040"/>
        <c:scaling>
          <c:orientation val="minMax"/>
        </c:scaling>
        <c:axPos val="b"/>
        <c:numFmt formatCode="General" sourceLinked="1"/>
        <c:tickLblPos val="nextTo"/>
        <c:txPr>
          <a:bodyPr/>
          <a:lstStyle/>
          <a:p>
            <a:pPr>
              <a:defRPr lang="en-CA" sz="800" baseline="0"/>
            </a:pPr>
            <a:endParaRPr lang="zh-CN"/>
          </a:p>
        </c:txPr>
        <c:crossAx val="262090752"/>
        <c:crosses val="autoZero"/>
        <c:auto val="1"/>
        <c:lblAlgn val="ctr"/>
        <c:lblOffset val="100"/>
      </c:catAx>
      <c:valAx>
        <c:axId val="262090752"/>
        <c:scaling>
          <c:orientation val="minMax"/>
          <c:max val="0.4"/>
        </c:scaling>
        <c:axPos val="l"/>
        <c:majorGridlines>
          <c:spPr>
            <a:ln w="6350">
              <a:prstDash val="sysDash"/>
            </a:ln>
          </c:spPr>
        </c:majorGridlines>
        <c:numFmt formatCode="0%" sourceLinked="0"/>
        <c:tickLblPos val="nextTo"/>
        <c:txPr>
          <a:bodyPr/>
          <a:lstStyle/>
          <a:p>
            <a:pPr>
              <a:defRPr lang="en-CA" sz="800" baseline="0"/>
            </a:pPr>
            <a:endParaRPr lang="zh-CN"/>
          </a:p>
        </c:txPr>
        <c:crossAx val="262087040"/>
        <c:crosses val="autoZero"/>
        <c:crossBetween val="between"/>
        <c:majorUnit val="0.05"/>
      </c:valAx>
    </c:plotArea>
    <c:legend>
      <c:legendPos val="b"/>
      <c:txPr>
        <a:bodyPr/>
        <a:lstStyle/>
        <a:p>
          <a:pPr>
            <a:defRPr lang="en-CA" sz="800" baseline="0"/>
          </a:pPr>
          <a:endParaRPr lang="zh-CN"/>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公司数据!$K$49</c:f>
              <c:strCache>
                <c:ptCount val="1"/>
                <c:pt idx="0">
                  <c:v>新华</c:v>
                </c:pt>
              </c:strCache>
            </c:strRef>
          </c:tx>
          <c:spPr>
            <a:solidFill>
              <a:srgbClr val="0070C0"/>
            </a:solidFill>
          </c:spPr>
          <c:cat>
            <c:strRef>
              <c:f>公司数据!$G$50:$G$58</c:f>
              <c:strCache>
                <c:ptCount val="9"/>
                <c:pt idx="0">
                  <c:v>1月</c:v>
                </c:pt>
                <c:pt idx="1">
                  <c:v>2月</c:v>
                </c:pt>
                <c:pt idx="2">
                  <c:v>3月</c:v>
                </c:pt>
                <c:pt idx="3">
                  <c:v>4月</c:v>
                </c:pt>
                <c:pt idx="4">
                  <c:v>5月</c:v>
                </c:pt>
                <c:pt idx="5">
                  <c:v>6月</c:v>
                </c:pt>
                <c:pt idx="6">
                  <c:v>7月</c:v>
                </c:pt>
                <c:pt idx="7">
                  <c:v>8月</c:v>
                </c:pt>
                <c:pt idx="8">
                  <c:v>9月</c:v>
                </c:pt>
              </c:strCache>
            </c:strRef>
          </c:cat>
          <c:val>
            <c:numRef>
              <c:f>公司数据!$K$50:$K$58</c:f>
              <c:numCache>
                <c:formatCode>0.00%</c:formatCode>
                <c:ptCount val="9"/>
                <c:pt idx="0">
                  <c:v>1.3047453335420971</c:v>
                </c:pt>
                <c:pt idx="1">
                  <c:v>0.19161856700459487</c:v>
                </c:pt>
                <c:pt idx="2">
                  <c:v>-5.2007872689562855E-2</c:v>
                </c:pt>
                <c:pt idx="3">
                  <c:v>-8.852041261031976E-2</c:v>
                </c:pt>
                <c:pt idx="4">
                  <c:v>-7.6115807723583506E-2</c:v>
                </c:pt>
                <c:pt idx="5">
                  <c:v>-5.5748778327510129E-2</c:v>
                </c:pt>
                <c:pt idx="6">
                  <c:v>-0.11986935933407293</c:v>
                </c:pt>
                <c:pt idx="7">
                  <c:v>-8.0261541591126445E-2</c:v>
                </c:pt>
                <c:pt idx="8">
                  <c:v>-1.6870715233263448E-2</c:v>
                </c:pt>
              </c:numCache>
            </c:numRef>
          </c:val>
        </c:ser>
        <c:axId val="262107904"/>
        <c:axId val="262134784"/>
      </c:barChart>
      <c:catAx>
        <c:axId val="262107904"/>
        <c:scaling>
          <c:orientation val="minMax"/>
        </c:scaling>
        <c:axPos val="b"/>
        <c:numFmt formatCode="General" sourceLinked="1"/>
        <c:tickLblPos val="nextTo"/>
        <c:txPr>
          <a:bodyPr/>
          <a:lstStyle/>
          <a:p>
            <a:pPr>
              <a:defRPr lang="en-CA" sz="800" baseline="0"/>
            </a:pPr>
            <a:endParaRPr lang="zh-CN"/>
          </a:p>
        </c:txPr>
        <c:crossAx val="262134784"/>
        <c:crosses val="autoZero"/>
        <c:auto val="1"/>
        <c:lblAlgn val="ctr"/>
        <c:lblOffset val="100"/>
      </c:catAx>
      <c:valAx>
        <c:axId val="262134784"/>
        <c:scaling>
          <c:orientation val="minMax"/>
        </c:scaling>
        <c:axPos val="l"/>
        <c:majorGridlines>
          <c:spPr>
            <a:ln w="6350">
              <a:prstDash val="sysDash"/>
            </a:ln>
          </c:spPr>
        </c:majorGridlines>
        <c:numFmt formatCode="0%" sourceLinked="0"/>
        <c:tickLblPos val="nextTo"/>
        <c:txPr>
          <a:bodyPr/>
          <a:lstStyle/>
          <a:p>
            <a:pPr>
              <a:defRPr lang="en-CA" sz="800" baseline="0"/>
            </a:pPr>
            <a:endParaRPr lang="zh-CN"/>
          </a:p>
        </c:txPr>
        <c:crossAx val="262107904"/>
        <c:crosses val="autoZero"/>
        <c:crossBetween val="between"/>
      </c:valAx>
    </c:plotArea>
    <c:legend>
      <c:legendPos val="b"/>
      <c:txPr>
        <a:bodyPr/>
        <a:lstStyle/>
        <a:p>
          <a:pPr>
            <a:defRPr lang="en-CA" sz="800" baseline="0"/>
          </a:pPr>
          <a:endParaRPr lang="zh-CN"/>
        </a:p>
      </c:txP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9313-DA72-48B4-8185-09B620A5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1245</Words>
  <Characters>7100</Characters>
  <Application>Microsoft Office Word</Application>
  <DocSecurity>0</DocSecurity>
  <Lines>59</Lines>
  <Paragraphs>16</Paragraphs>
  <ScaleCrop>false</ScaleCrop>
  <Company>iwillprint</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ZSS</cp:lastModifiedBy>
  <cp:revision>27</cp:revision>
  <cp:lastPrinted>2014-09-30T06:30:00Z</cp:lastPrinted>
  <dcterms:created xsi:type="dcterms:W3CDTF">2014-10-20T02:29:00Z</dcterms:created>
  <dcterms:modified xsi:type="dcterms:W3CDTF">2014-10-20T08:12:00Z</dcterms:modified>
</cp:coreProperties>
</file>